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CEE58B4">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66A5D880">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5E2FE68B">
      <w:pPr>
        <w:keepNext/>
        <w:keepLines/>
        <w:spacing w:before="260" w:after="260" w:line="416" w:lineRule="atLeast"/>
        <w:jc w:val="center"/>
        <w:outlineLvl w:val="1"/>
        <w:rPr>
          <w:rFonts w:hint="eastAsia" w:ascii="Times New Roman" w:hAnsi="Times New Roman" w:eastAsia="宋体"/>
          <w:b/>
          <w:bCs/>
          <w:sz w:val="28"/>
          <w:szCs w:val="28"/>
          <w:lang w:eastAsia="zh-CN"/>
        </w:rPr>
      </w:pPr>
      <w:r>
        <w:rPr>
          <w:rFonts w:hint="eastAsia" w:ascii="Times New Roman" w:hAnsi="Times New Roman" w:eastAsia="宋体"/>
          <w:b/>
          <w:bCs/>
          <w:sz w:val="28"/>
          <w:szCs w:val="28"/>
          <w:lang w:eastAsia="zh-CN"/>
        </w:rPr>
        <w:drawing>
          <wp:inline distT="0" distB="0" distL="114300" distR="114300">
            <wp:extent cx="7068820" cy="661035"/>
            <wp:effectExtent l="0" t="0" r="0" b="0"/>
            <wp:docPr id="5" name="图片 5"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十四五国规标"/>
                    <pic:cNvPicPr>
                      <a:picLocks noChangeAspect="1"/>
                    </pic:cNvPicPr>
                  </pic:nvPicPr>
                  <pic:blipFill>
                    <a:blip r:embed="rId6"/>
                    <a:srcRect t="46761" b="46627"/>
                    <a:stretch>
                      <a:fillRect/>
                    </a:stretch>
                  </pic:blipFill>
                  <pic:spPr>
                    <a:xfrm>
                      <a:off x="0" y="0"/>
                      <a:ext cx="7068820" cy="661035"/>
                    </a:xfrm>
                    <a:prstGeom prst="rect">
                      <a:avLst/>
                    </a:prstGeom>
                  </pic:spPr>
                </pic:pic>
              </a:graphicData>
            </a:graphic>
          </wp:inline>
        </w:drawing>
      </w:r>
    </w:p>
    <w:p w14:paraId="21545871">
      <w:pPr>
        <w:keepNext/>
        <w:keepLines/>
        <w:spacing w:before="260" w:after="260" w:line="240" w:lineRule="auto"/>
        <w:jc w:val="both"/>
        <w:outlineLvl w:val="1"/>
        <w:rPr>
          <w:rFonts w:hint="eastAsia" w:ascii="Times New Roman" w:hAnsi="Times New Roman"/>
          <w:b/>
          <w:bCs/>
          <w:sz w:val="30"/>
          <w:szCs w:val="30"/>
          <w:lang w:val="en-US" w:eastAsia="zh-CN"/>
        </w:rPr>
      </w:pPr>
    </w:p>
    <w:p w14:paraId="26881B23">
      <w:pPr>
        <w:keepNext/>
        <w:keepLines/>
        <w:spacing w:before="260" w:after="260" w:line="240" w:lineRule="auto"/>
        <w:jc w:val="both"/>
        <w:outlineLvl w:val="1"/>
        <w:rPr>
          <w:rFonts w:hint="eastAsia" w:ascii="Times New Roman" w:hAnsi="Times New Roman"/>
          <w:b/>
          <w:bCs/>
          <w:sz w:val="30"/>
          <w:szCs w:val="30"/>
          <w:lang w:val="en-US" w:eastAsia="zh-CN"/>
        </w:rPr>
      </w:pPr>
    </w:p>
    <w:p w14:paraId="5E81C5F3">
      <w:pPr>
        <w:keepNext/>
        <w:keepLines/>
        <w:spacing w:before="260" w:after="260" w:line="240" w:lineRule="auto"/>
        <w:jc w:val="center"/>
        <w:outlineLvl w:val="1"/>
        <w:rPr>
          <w:rFonts w:hint="eastAsia" w:ascii="Times New Roman" w:hAnsi="Times New Roman"/>
          <w:b/>
          <w:bCs/>
          <w:sz w:val="52"/>
          <w:szCs w:val="52"/>
        </w:rPr>
      </w:pPr>
      <w:r>
        <w:rPr>
          <w:rFonts w:hint="eastAsia" w:ascii="汉仪菱心体简" w:hAnsi="汉仪菱心体简" w:eastAsia="汉仪菱心体简" w:cs="汉仪菱心体简"/>
          <w:i w:val="0"/>
          <w:caps w:val="0"/>
          <w:color w:val="6787B2"/>
          <w:spacing w:val="0"/>
          <w:sz w:val="84"/>
          <w:szCs w:val="84"/>
          <w:shd w:val="clear" w:fill="FFFFFF"/>
          <w:lang w:val="en-US" w:eastAsia="zh-CN"/>
        </w:rPr>
        <w:t>教案</w:t>
      </w:r>
    </w:p>
    <w:p w14:paraId="412EDB9B">
      <w:pPr>
        <w:keepNext/>
        <w:keepLines/>
        <w:spacing w:before="260" w:after="260" w:line="240" w:lineRule="auto"/>
        <w:jc w:val="center"/>
        <w:outlineLvl w:val="1"/>
        <w:rPr>
          <w:rFonts w:hint="eastAsia" w:ascii="思源宋体 CN Heavy" w:hAnsi="思源宋体 CN Heavy" w:eastAsia="思源宋体 CN Heavy" w:cs="思源宋体 CN Heavy"/>
          <w:b/>
          <w:bCs/>
          <w:color w:val="6787B2"/>
          <w:sz w:val="112"/>
          <w:szCs w:val="112"/>
        </w:rPr>
      </w:pPr>
      <w:r>
        <w:rPr>
          <w:rFonts w:hint="eastAsia" w:ascii="思源宋体 CN Heavy" w:hAnsi="思源宋体 CN Heavy" w:eastAsia="思源宋体 CN Heavy" w:cs="思源宋体 CN Heavy"/>
          <w:b/>
          <w:bCs/>
          <w:color w:val="6787B2"/>
          <w:sz w:val="112"/>
          <w:szCs w:val="112"/>
        </w:rPr>
        <w:t>护理学基础</w:t>
      </w:r>
    </w:p>
    <w:p w14:paraId="1DE0F138">
      <w:pPr>
        <w:keepNext/>
        <w:keepLines/>
        <w:spacing w:before="260" w:after="260" w:line="240" w:lineRule="auto"/>
        <w:jc w:val="center"/>
        <w:outlineLvl w:val="1"/>
        <w:rPr>
          <w:rFonts w:hint="default" w:ascii="Times New Roman" w:hAnsi="Times New Roman" w:eastAsia="宋体"/>
          <w:b/>
          <w:bCs/>
          <w:color w:val="2E75B6" w:themeColor="accent1" w:themeShade="BF"/>
          <w:sz w:val="52"/>
          <w:szCs w:val="52"/>
          <w:lang w:val="en-US" w:eastAsia="zh-CN"/>
        </w:rPr>
      </w:pPr>
      <w:r>
        <w:rPr>
          <w:rFonts w:hint="eastAsia" w:ascii="Times New Roman" w:hAnsi="Times New Roman"/>
          <w:b/>
          <w:bCs/>
          <w:color w:val="2E75B6" w:themeColor="accent1" w:themeShade="BF"/>
          <w:sz w:val="52"/>
          <w:szCs w:val="52"/>
          <w:lang w:eastAsia="zh-CN"/>
        </w:rPr>
        <w:t>（</w:t>
      </w:r>
      <w:r>
        <w:rPr>
          <w:rFonts w:hint="eastAsia" w:ascii="Times New Roman" w:hAnsi="Times New Roman"/>
          <w:b/>
          <w:bCs/>
          <w:color w:val="2E75B6" w:themeColor="accent1" w:themeShade="BF"/>
          <w:sz w:val="52"/>
          <w:szCs w:val="52"/>
          <w:lang w:val="en-US" w:eastAsia="zh-CN"/>
        </w:rPr>
        <w:t>第二版）</w:t>
      </w:r>
    </w:p>
    <w:p w14:paraId="7F875E9A">
      <w:pPr>
        <w:keepNext/>
        <w:keepLines/>
        <w:spacing w:before="260" w:after="260" w:line="240" w:lineRule="auto"/>
        <w:jc w:val="center"/>
        <w:outlineLvl w:val="1"/>
        <w:rPr>
          <w:rFonts w:hint="eastAsia" w:ascii="Times New Roman" w:hAnsi="Times New Roman"/>
          <w:b/>
          <w:bCs/>
          <w:sz w:val="28"/>
          <w:szCs w:val="28"/>
        </w:rPr>
      </w:pPr>
    </w:p>
    <w:p w14:paraId="25768923">
      <w:pPr>
        <w:keepNext/>
        <w:keepLines/>
        <w:spacing w:before="260" w:after="260" w:line="240" w:lineRule="auto"/>
        <w:jc w:val="center"/>
        <w:outlineLvl w:val="1"/>
        <w:rPr>
          <w:rFonts w:hint="eastAsia" w:ascii="Times New Roman" w:hAnsi="Times New Roman"/>
          <w:b/>
          <w:bCs/>
          <w:sz w:val="28"/>
          <w:szCs w:val="28"/>
        </w:rPr>
      </w:pPr>
    </w:p>
    <w:p w14:paraId="00F1166D">
      <w:pPr>
        <w:keepNext/>
        <w:keepLines/>
        <w:spacing w:before="260" w:after="260" w:line="240" w:lineRule="auto"/>
        <w:jc w:val="both"/>
        <w:outlineLvl w:val="1"/>
        <w:rPr>
          <w:rFonts w:hint="eastAsia" w:ascii="Times New Roman" w:hAnsi="Times New Roman"/>
          <w:b/>
          <w:bCs/>
          <w:sz w:val="28"/>
          <w:szCs w:val="28"/>
        </w:rPr>
      </w:pPr>
    </w:p>
    <w:p w14:paraId="3D194E08">
      <w:pPr>
        <w:keepNext/>
        <w:keepLines/>
        <w:spacing w:before="260" w:after="260" w:line="240" w:lineRule="auto"/>
        <w:jc w:val="both"/>
        <w:outlineLvl w:val="1"/>
        <w:rPr>
          <w:rFonts w:hint="eastAsia" w:ascii="Times New Roman" w:hAnsi="Times New Roman"/>
          <w:b/>
          <w:bCs/>
          <w:sz w:val="28"/>
          <w:szCs w:val="28"/>
        </w:rPr>
      </w:pPr>
    </w:p>
    <w:p w14:paraId="17BE5798">
      <w:pPr>
        <w:keepNext/>
        <w:keepLines/>
        <w:spacing w:before="260" w:after="260" w:line="240" w:lineRule="auto"/>
        <w:jc w:val="center"/>
        <w:outlineLvl w:val="1"/>
        <w:rPr>
          <w:rFonts w:hint="eastAsia" w:ascii="Times New Roman" w:hAnsi="Times New Roman"/>
          <w:b/>
          <w:bCs/>
          <w:sz w:val="28"/>
          <w:szCs w:val="28"/>
        </w:rPr>
      </w:pPr>
      <w:r>
        <w:rPr>
          <w:rFonts w:hint="eastAsia" w:ascii="Times New Roman" w:hAnsi="Times New Roman"/>
          <w:b/>
          <w:bCs/>
          <w:color w:val="8FAADC" w:themeColor="accent5" w:themeTint="99"/>
          <w:sz w:val="28"/>
          <w:szCs w:val="28"/>
          <w:lang w:val="en-US" w:eastAsia="zh-CN"/>
          <w14:textFill>
            <w14:solidFill>
              <w14:schemeClr w14:val="accent5">
                <w14:lumMod w14:val="60000"/>
                <w14:lumOff w14:val="40000"/>
              </w14:schemeClr>
            </w14:solidFill>
          </w14:textFill>
        </w:rPr>
        <w:t>北京出版社</w:t>
      </w:r>
    </w:p>
    <w:p w14:paraId="4CE1FFFF">
      <w:pPr>
        <w:keepNext/>
        <w:keepLines/>
        <w:spacing w:before="260" w:after="260" w:line="240" w:lineRule="auto"/>
        <w:jc w:val="both"/>
        <w:outlineLvl w:val="1"/>
        <w:rPr>
          <w:rFonts w:hint="eastAsia" w:ascii="Times New Roman" w:hAnsi="Times New Roman"/>
          <w:b/>
          <w:bCs/>
          <w:sz w:val="28"/>
          <w:szCs w:val="28"/>
        </w:rPr>
        <w:sectPr>
          <w:headerReference r:id="rId4" w:type="first"/>
          <w:headerReference r:id="rId3" w:type="default"/>
          <w:pgSz w:w="11906" w:h="16838"/>
          <w:pgMar w:top="0" w:right="170" w:bottom="0" w:left="170" w:header="567" w:footer="850" w:gutter="0"/>
          <w:pgBorders>
            <w:top w:val="none" w:sz="0" w:space="0"/>
            <w:left w:val="none" w:sz="0" w:space="0"/>
            <w:bottom w:val="none" w:sz="0" w:space="0"/>
            <w:right w:val="none" w:sz="0" w:space="0"/>
          </w:pgBorders>
          <w:cols w:space="425" w:num="1"/>
          <w:titlePg/>
          <w:docGrid w:type="lines" w:linePitch="312" w:charSpace="0"/>
        </w:sectPr>
      </w:pPr>
    </w:p>
    <w:p w14:paraId="45BEE8F2">
      <w:pPr>
        <w:pStyle w:val="3"/>
        <w:bidi w:val="0"/>
        <w:jc w:val="center"/>
        <w:rPr>
          <w:rFonts w:hint="eastAsia"/>
          <w:sz w:val="52"/>
          <w:szCs w:val="52"/>
          <w:lang w:eastAsia="zh-CN"/>
        </w:rPr>
      </w:pPr>
      <w:r>
        <w:rPr>
          <w:rFonts w:hint="eastAsia"/>
          <w:sz w:val="52"/>
          <w:szCs w:val="52"/>
          <w:lang w:eastAsia="zh-CN"/>
        </w:rPr>
        <w:t>课时分配表</w:t>
      </w:r>
    </w:p>
    <w:tbl>
      <w:tblPr>
        <w:tblStyle w:val="11"/>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Layout w:type="autofit"/>
        <w:tblCellMar>
          <w:top w:w="0" w:type="dxa"/>
          <w:left w:w="108" w:type="dxa"/>
          <w:bottom w:w="0" w:type="dxa"/>
          <w:right w:w="108" w:type="dxa"/>
        </w:tblCellMar>
      </w:tblPr>
      <w:tblGrid>
        <w:gridCol w:w="1176"/>
        <w:gridCol w:w="5269"/>
        <w:gridCol w:w="1735"/>
        <w:gridCol w:w="2025"/>
      </w:tblGrid>
      <w:tr w14:paraId="387E77C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00B0F0"/>
            <w:vAlign w:val="center"/>
          </w:tcPr>
          <w:p w14:paraId="735CD68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章序</w:t>
            </w:r>
          </w:p>
        </w:tc>
        <w:tc>
          <w:tcPr>
            <w:tcW w:w="4166" w:type="dxa"/>
            <w:tcBorders>
              <w:tl2br w:val="nil"/>
              <w:tr2bl w:val="nil"/>
            </w:tcBorders>
            <w:shd w:val="clear" w:color="auto" w:fill="00B0F0"/>
            <w:vAlign w:val="center"/>
          </w:tcPr>
          <w:p w14:paraId="5C161E8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课程内容</w:t>
            </w:r>
          </w:p>
        </w:tc>
        <w:tc>
          <w:tcPr>
            <w:tcW w:w="1372" w:type="dxa"/>
            <w:tcBorders>
              <w:tl2br w:val="nil"/>
              <w:tr2bl w:val="nil"/>
            </w:tcBorders>
            <w:shd w:val="clear" w:color="auto" w:fill="00B0F0"/>
            <w:vAlign w:val="center"/>
          </w:tcPr>
          <w:p w14:paraId="437AAF3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课时</w:t>
            </w:r>
          </w:p>
        </w:tc>
        <w:tc>
          <w:tcPr>
            <w:tcW w:w="1600" w:type="dxa"/>
            <w:tcBorders>
              <w:tl2br w:val="nil"/>
              <w:tr2bl w:val="nil"/>
            </w:tcBorders>
            <w:shd w:val="clear" w:color="auto" w:fill="00B0F0"/>
            <w:vAlign w:val="center"/>
          </w:tcPr>
          <w:p w14:paraId="186FE5C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备注</w:t>
            </w:r>
          </w:p>
        </w:tc>
      </w:tr>
      <w:tr w14:paraId="184BB40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42A4E5F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w:t>
            </w:r>
          </w:p>
        </w:tc>
        <w:tc>
          <w:tcPr>
            <w:tcW w:w="4166" w:type="dxa"/>
            <w:tcBorders>
              <w:tl2br w:val="nil"/>
              <w:tr2bl w:val="nil"/>
            </w:tcBorders>
            <w:shd w:val="clear" w:color="auto" w:fill="FFFFFF"/>
            <w:vAlign w:val="center"/>
          </w:tcPr>
          <w:p w14:paraId="0C8DFBC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绪论</w:t>
            </w:r>
          </w:p>
        </w:tc>
        <w:tc>
          <w:tcPr>
            <w:tcW w:w="1372" w:type="dxa"/>
            <w:tcBorders>
              <w:tl2br w:val="nil"/>
              <w:tr2bl w:val="nil"/>
            </w:tcBorders>
            <w:shd w:val="clear" w:color="auto" w:fill="FFFFFF"/>
            <w:vAlign w:val="center"/>
          </w:tcPr>
          <w:p w14:paraId="336EB78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1600" w:type="dxa"/>
            <w:tcBorders>
              <w:tl2br w:val="nil"/>
              <w:tr2bl w:val="nil"/>
            </w:tcBorders>
            <w:shd w:val="clear" w:color="auto" w:fill="FFFFFF"/>
            <w:vAlign w:val="center"/>
          </w:tcPr>
          <w:p w14:paraId="2A60FCB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3264512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638EEA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4166" w:type="dxa"/>
            <w:tcBorders>
              <w:tl2br w:val="nil"/>
              <w:tr2bl w:val="nil"/>
            </w:tcBorders>
            <w:shd w:val="clear" w:color="auto" w:fill="FFFFFF"/>
            <w:vAlign w:val="center"/>
          </w:tcPr>
          <w:p w14:paraId="06E42A4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护理程序</w:t>
            </w:r>
          </w:p>
        </w:tc>
        <w:tc>
          <w:tcPr>
            <w:tcW w:w="1372" w:type="dxa"/>
            <w:tcBorders>
              <w:tl2br w:val="nil"/>
              <w:tr2bl w:val="nil"/>
            </w:tcBorders>
            <w:shd w:val="clear" w:color="auto" w:fill="FFFFFF"/>
            <w:vAlign w:val="center"/>
          </w:tcPr>
          <w:p w14:paraId="1B91DFA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1600" w:type="dxa"/>
            <w:tcBorders>
              <w:tl2br w:val="nil"/>
              <w:tr2bl w:val="nil"/>
            </w:tcBorders>
            <w:shd w:val="clear" w:color="auto" w:fill="FFFFFF"/>
            <w:vAlign w:val="center"/>
          </w:tcPr>
          <w:p w14:paraId="1F13B75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545E5E5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53CA4F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4166" w:type="dxa"/>
            <w:tcBorders>
              <w:tl2br w:val="nil"/>
              <w:tr2bl w:val="nil"/>
            </w:tcBorders>
            <w:shd w:val="clear" w:color="auto" w:fill="FFFFFF"/>
            <w:vAlign w:val="center"/>
          </w:tcPr>
          <w:p w14:paraId="10C498E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医院和住院环境</w:t>
            </w:r>
          </w:p>
        </w:tc>
        <w:tc>
          <w:tcPr>
            <w:tcW w:w="1372" w:type="dxa"/>
            <w:tcBorders>
              <w:tl2br w:val="nil"/>
              <w:tr2bl w:val="nil"/>
            </w:tcBorders>
            <w:shd w:val="clear" w:color="auto" w:fill="FFFFFF"/>
            <w:vAlign w:val="center"/>
          </w:tcPr>
          <w:p w14:paraId="6245B2E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16</w:t>
            </w:r>
          </w:p>
        </w:tc>
        <w:tc>
          <w:tcPr>
            <w:tcW w:w="1600" w:type="dxa"/>
            <w:tcBorders>
              <w:tl2br w:val="nil"/>
              <w:tr2bl w:val="nil"/>
            </w:tcBorders>
            <w:shd w:val="clear" w:color="auto" w:fill="FFFFFF"/>
            <w:vAlign w:val="center"/>
          </w:tcPr>
          <w:p w14:paraId="75A8974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A9E111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7D9028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4166" w:type="dxa"/>
            <w:tcBorders>
              <w:tl2br w:val="nil"/>
              <w:tr2bl w:val="nil"/>
            </w:tcBorders>
            <w:shd w:val="clear" w:color="auto" w:fill="FFFFFF"/>
            <w:vAlign w:val="center"/>
          </w:tcPr>
          <w:p w14:paraId="5032614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入院和出院患者的护理</w:t>
            </w:r>
          </w:p>
        </w:tc>
        <w:tc>
          <w:tcPr>
            <w:tcW w:w="1372" w:type="dxa"/>
            <w:tcBorders>
              <w:tl2br w:val="nil"/>
              <w:tr2bl w:val="nil"/>
            </w:tcBorders>
            <w:shd w:val="clear" w:color="auto" w:fill="FFFFFF"/>
            <w:vAlign w:val="center"/>
          </w:tcPr>
          <w:p w14:paraId="76A6D0D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1600" w:type="dxa"/>
            <w:tcBorders>
              <w:tl2br w:val="nil"/>
              <w:tr2bl w:val="nil"/>
            </w:tcBorders>
            <w:shd w:val="clear" w:color="auto" w:fill="FFFFFF"/>
            <w:vAlign w:val="center"/>
          </w:tcPr>
          <w:p w14:paraId="41225E7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1AF3C5A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3FCAE95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4166" w:type="dxa"/>
            <w:tcBorders>
              <w:tl2br w:val="nil"/>
              <w:tr2bl w:val="nil"/>
            </w:tcBorders>
            <w:shd w:val="clear" w:color="auto" w:fill="FFFFFF"/>
            <w:vAlign w:val="center"/>
          </w:tcPr>
          <w:p w14:paraId="7A231B1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卧位与安全</w:t>
            </w:r>
          </w:p>
        </w:tc>
        <w:tc>
          <w:tcPr>
            <w:tcW w:w="1372" w:type="dxa"/>
            <w:tcBorders>
              <w:tl2br w:val="nil"/>
              <w:tr2bl w:val="nil"/>
            </w:tcBorders>
            <w:shd w:val="clear" w:color="auto" w:fill="FFFFFF"/>
            <w:vAlign w:val="center"/>
          </w:tcPr>
          <w:p w14:paraId="1EC0B8D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1600" w:type="dxa"/>
            <w:tcBorders>
              <w:tl2br w:val="nil"/>
              <w:tr2bl w:val="nil"/>
            </w:tcBorders>
            <w:shd w:val="clear" w:color="auto" w:fill="FFFFFF"/>
            <w:vAlign w:val="center"/>
          </w:tcPr>
          <w:p w14:paraId="40C15ED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777C283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13D45C5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4166" w:type="dxa"/>
            <w:tcBorders>
              <w:tl2br w:val="nil"/>
              <w:tr2bl w:val="nil"/>
            </w:tcBorders>
            <w:shd w:val="clear" w:color="auto" w:fill="FFFFFF"/>
            <w:vAlign w:val="center"/>
          </w:tcPr>
          <w:p w14:paraId="4D3E4AB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医院内感染的预防与控制</w:t>
            </w:r>
          </w:p>
        </w:tc>
        <w:tc>
          <w:tcPr>
            <w:tcW w:w="1372" w:type="dxa"/>
            <w:tcBorders>
              <w:tl2br w:val="nil"/>
              <w:tr2bl w:val="nil"/>
            </w:tcBorders>
            <w:shd w:val="clear" w:color="auto" w:fill="FFFFFF"/>
            <w:vAlign w:val="center"/>
          </w:tcPr>
          <w:p w14:paraId="7C4076A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16</w:t>
            </w:r>
          </w:p>
        </w:tc>
        <w:tc>
          <w:tcPr>
            <w:tcW w:w="1600" w:type="dxa"/>
            <w:tcBorders>
              <w:tl2br w:val="nil"/>
              <w:tr2bl w:val="nil"/>
            </w:tcBorders>
            <w:shd w:val="clear" w:color="auto" w:fill="FFFFFF"/>
            <w:vAlign w:val="center"/>
          </w:tcPr>
          <w:p w14:paraId="2332D4F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3BBD8C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A1258A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7</w:t>
            </w:r>
          </w:p>
        </w:tc>
        <w:tc>
          <w:tcPr>
            <w:tcW w:w="4166" w:type="dxa"/>
            <w:tcBorders>
              <w:tl2br w:val="nil"/>
              <w:tr2bl w:val="nil"/>
            </w:tcBorders>
            <w:shd w:val="clear" w:color="auto" w:fill="FFFFFF"/>
            <w:vAlign w:val="center"/>
          </w:tcPr>
          <w:p w14:paraId="17C4A5C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药物疗法和过敏试验法</w:t>
            </w:r>
          </w:p>
        </w:tc>
        <w:tc>
          <w:tcPr>
            <w:tcW w:w="1372" w:type="dxa"/>
            <w:tcBorders>
              <w:tl2br w:val="nil"/>
              <w:tr2bl w:val="nil"/>
            </w:tcBorders>
            <w:shd w:val="clear" w:color="auto" w:fill="FFFFFF"/>
            <w:vAlign w:val="center"/>
          </w:tcPr>
          <w:p w14:paraId="08AFE7C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15</w:t>
            </w:r>
          </w:p>
        </w:tc>
        <w:tc>
          <w:tcPr>
            <w:tcW w:w="1600" w:type="dxa"/>
            <w:tcBorders>
              <w:tl2br w:val="nil"/>
              <w:tr2bl w:val="nil"/>
            </w:tcBorders>
            <w:shd w:val="clear" w:color="auto" w:fill="FFFFFF"/>
            <w:vAlign w:val="center"/>
          </w:tcPr>
          <w:p w14:paraId="7758E83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289623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17EC2E6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4166" w:type="dxa"/>
            <w:tcBorders>
              <w:tl2br w:val="nil"/>
              <w:tr2bl w:val="nil"/>
            </w:tcBorders>
            <w:shd w:val="clear" w:color="auto" w:fill="FFFFFF"/>
            <w:vAlign w:val="center"/>
          </w:tcPr>
          <w:p w14:paraId="7D68F4D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静脉输液和输血法</w:t>
            </w:r>
          </w:p>
        </w:tc>
        <w:tc>
          <w:tcPr>
            <w:tcW w:w="1372" w:type="dxa"/>
            <w:tcBorders>
              <w:tl2br w:val="nil"/>
              <w:tr2bl w:val="nil"/>
            </w:tcBorders>
            <w:shd w:val="clear" w:color="auto" w:fill="FFFFFF"/>
            <w:vAlign w:val="center"/>
          </w:tcPr>
          <w:p w14:paraId="6C16A92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1600" w:type="dxa"/>
            <w:tcBorders>
              <w:tl2br w:val="nil"/>
              <w:tr2bl w:val="nil"/>
            </w:tcBorders>
            <w:shd w:val="clear" w:color="auto" w:fill="FFFFFF"/>
            <w:vAlign w:val="center"/>
          </w:tcPr>
          <w:p w14:paraId="456C36D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7499B7F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2328A31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4166" w:type="dxa"/>
            <w:tcBorders>
              <w:tl2br w:val="nil"/>
              <w:tr2bl w:val="nil"/>
            </w:tcBorders>
            <w:shd w:val="clear" w:color="auto" w:fill="FFFFFF"/>
            <w:vAlign w:val="center"/>
          </w:tcPr>
          <w:p w14:paraId="52B7B3E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生命体征的评估及护理</w:t>
            </w:r>
          </w:p>
        </w:tc>
        <w:tc>
          <w:tcPr>
            <w:tcW w:w="1372" w:type="dxa"/>
            <w:tcBorders>
              <w:tl2br w:val="nil"/>
              <w:tr2bl w:val="nil"/>
            </w:tcBorders>
            <w:shd w:val="clear" w:color="auto" w:fill="FFFFFF"/>
            <w:vAlign w:val="center"/>
          </w:tcPr>
          <w:p w14:paraId="469F5E8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12</w:t>
            </w:r>
          </w:p>
        </w:tc>
        <w:tc>
          <w:tcPr>
            <w:tcW w:w="1600" w:type="dxa"/>
            <w:tcBorders>
              <w:tl2br w:val="nil"/>
              <w:tr2bl w:val="nil"/>
            </w:tcBorders>
            <w:shd w:val="clear" w:color="auto" w:fill="FFFFFF"/>
            <w:vAlign w:val="center"/>
          </w:tcPr>
          <w:p w14:paraId="55E0D6F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40E2CB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1A0A9F0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10</w:t>
            </w:r>
          </w:p>
        </w:tc>
        <w:tc>
          <w:tcPr>
            <w:tcW w:w="4166" w:type="dxa"/>
            <w:tcBorders>
              <w:tl2br w:val="nil"/>
              <w:tr2bl w:val="nil"/>
            </w:tcBorders>
            <w:shd w:val="clear" w:color="auto" w:fill="FFFFFF"/>
            <w:vAlign w:val="center"/>
          </w:tcPr>
          <w:p w14:paraId="68AA19A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患者的清洁护理</w:t>
            </w:r>
          </w:p>
        </w:tc>
        <w:tc>
          <w:tcPr>
            <w:tcW w:w="1372" w:type="dxa"/>
            <w:tcBorders>
              <w:tl2br w:val="nil"/>
              <w:tr2bl w:val="nil"/>
            </w:tcBorders>
            <w:shd w:val="clear" w:color="auto" w:fill="FFFFFF"/>
            <w:vAlign w:val="center"/>
          </w:tcPr>
          <w:p w14:paraId="07254C8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24</w:t>
            </w:r>
          </w:p>
        </w:tc>
        <w:tc>
          <w:tcPr>
            <w:tcW w:w="1600" w:type="dxa"/>
            <w:tcBorders>
              <w:tl2br w:val="nil"/>
              <w:tr2bl w:val="nil"/>
            </w:tcBorders>
            <w:shd w:val="clear" w:color="auto" w:fill="FFFFFF"/>
            <w:vAlign w:val="center"/>
          </w:tcPr>
          <w:p w14:paraId="79F74BD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E8D82B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CA87BB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11</w:t>
            </w:r>
          </w:p>
        </w:tc>
        <w:tc>
          <w:tcPr>
            <w:tcW w:w="4166" w:type="dxa"/>
            <w:tcBorders>
              <w:tl2br w:val="nil"/>
              <w:tr2bl w:val="nil"/>
            </w:tcBorders>
            <w:shd w:val="clear" w:color="auto" w:fill="FFFFFF"/>
            <w:vAlign w:val="center"/>
          </w:tcPr>
          <w:p w14:paraId="2E0DA8D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饮食护理</w:t>
            </w:r>
          </w:p>
        </w:tc>
        <w:tc>
          <w:tcPr>
            <w:tcW w:w="1372" w:type="dxa"/>
            <w:tcBorders>
              <w:tl2br w:val="nil"/>
              <w:tr2bl w:val="nil"/>
            </w:tcBorders>
            <w:shd w:val="clear" w:color="auto" w:fill="FFFFFF"/>
            <w:vAlign w:val="center"/>
          </w:tcPr>
          <w:p w14:paraId="63E39F5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1600" w:type="dxa"/>
            <w:tcBorders>
              <w:tl2br w:val="nil"/>
              <w:tr2bl w:val="nil"/>
            </w:tcBorders>
            <w:shd w:val="clear" w:color="auto" w:fill="FFFFFF"/>
            <w:vAlign w:val="center"/>
          </w:tcPr>
          <w:p w14:paraId="656D354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74E29B3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1028FE1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12</w:t>
            </w:r>
          </w:p>
        </w:tc>
        <w:tc>
          <w:tcPr>
            <w:tcW w:w="4166" w:type="dxa"/>
            <w:tcBorders>
              <w:tl2br w:val="nil"/>
              <w:tr2bl w:val="nil"/>
            </w:tcBorders>
            <w:shd w:val="clear" w:color="auto" w:fill="FFFFFF"/>
            <w:vAlign w:val="center"/>
          </w:tcPr>
          <w:p w14:paraId="27141D8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排泄护理</w:t>
            </w:r>
          </w:p>
        </w:tc>
        <w:tc>
          <w:tcPr>
            <w:tcW w:w="1372" w:type="dxa"/>
            <w:tcBorders>
              <w:tl2br w:val="nil"/>
              <w:tr2bl w:val="nil"/>
            </w:tcBorders>
            <w:shd w:val="clear" w:color="auto" w:fill="FFFFFF"/>
            <w:vAlign w:val="center"/>
          </w:tcPr>
          <w:p w14:paraId="49C1AAC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1600" w:type="dxa"/>
            <w:tcBorders>
              <w:tl2br w:val="nil"/>
              <w:tr2bl w:val="nil"/>
            </w:tcBorders>
            <w:shd w:val="clear" w:color="auto" w:fill="FFFFFF"/>
            <w:vAlign w:val="center"/>
          </w:tcPr>
          <w:p w14:paraId="3B5135F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A899F9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3325467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13</w:t>
            </w:r>
          </w:p>
        </w:tc>
        <w:tc>
          <w:tcPr>
            <w:tcW w:w="4166" w:type="dxa"/>
            <w:tcBorders>
              <w:tl2br w:val="nil"/>
              <w:tr2bl w:val="nil"/>
            </w:tcBorders>
            <w:shd w:val="clear" w:color="auto" w:fill="FFFFFF"/>
            <w:vAlign w:val="center"/>
          </w:tcPr>
          <w:p w14:paraId="3D3BF6B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标本采集</w:t>
            </w:r>
          </w:p>
        </w:tc>
        <w:tc>
          <w:tcPr>
            <w:tcW w:w="1372" w:type="dxa"/>
            <w:tcBorders>
              <w:tl2br w:val="nil"/>
              <w:tr2bl w:val="nil"/>
            </w:tcBorders>
            <w:shd w:val="clear" w:color="auto" w:fill="FFFFFF"/>
            <w:vAlign w:val="center"/>
          </w:tcPr>
          <w:p w14:paraId="62BB42E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1600" w:type="dxa"/>
            <w:tcBorders>
              <w:tl2br w:val="nil"/>
              <w:tr2bl w:val="nil"/>
            </w:tcBorders>
            <w:shd w:val="clear" w:color="auto" w:fill="FFFFFF"/>
            <w:vAlign w:val="center"/>
          </w:tcPr>
          <w:p w14:paraId="26249B0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6404C3E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DD8318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14</w:t>
            </w:r>
          </w:p>
        </w:tc>
        <w:tc>
          <w:tcPr>
            <w:tcW w:w="4166" w:type="dxa"/>
            <w:tcBorders>
              <w:tl2br w:val="nil"/>
              <w:tr2bl w:val="nil"/>
            </w:tcBorders>
            <w:shd w:val="clear" w:color="auto" w:fill="FFFFFF"/>
            <w:vAlign w:val="center"/>
          </w:tcPr>
          <w:p w14:paraId="16767CD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冷热疗法</w:t>
            </w:r>
          </w:p>
        </w:tc>
        <w:tc>
          <w:tcPr>
            <w:tcW w:w="1372" w:type="dxa"/>
            <w:tcBorders>
              <w:tl2br w:val="nil"/>
              <w:tr2bl w:val="nil"/>
            </w:tcBorders>
            <w:shd w:val="clear" w:color="auto" w:fill="FFFFFF"/>
            <w:vAlign w:val="center"/>
          </w:tcPr>
          <w:p w14:paraId="19C0E92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1600" w:type="dxa"/>
            <w:tcBorders>
              <w:tl2br w:val="nil"/>
              <w:tr2bl w:val="nil"/>
            </w:tcBorders>
            <w:shd w:val="clear" w:color="auto" w:fill="FFFFFF"/>
            <w:vAlign w:val="center"/>
          </w:tcPr>
          <w:p w14:paraId="499BD9D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8C4344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07AB0A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15</w:t>
            </w:r>
          </w:p>
        </w:tc>
        <w:tc>
          <w:tcPr>
            <w:tcW w:w="4166" w:type="dxa"/>
            <w:tcBorders>
              <w:tl2br w:val="nil"/>
              <w:tr2bl w:val="nil"/>
            </w:tcBorders>
            <w:shd w:val="clear" w:color="auto" w:fill="FFFFFF"/>
            <w:vAlign w:val="center"/>
          </w:tcPr>
          <w:p w14:paraId="434D5B1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病情观察和危重患者的抢救</w:t>
            </w:r>
          </w:p>
        </w:tc>
        <w:tc>
          <w:tcPr>
            <w:tcW w:w="1372" w:type="dxa"/>
            <w:tcBorders>
              <w:tl2br w:val="nil"/>
              <w:tr2bl w:val="nil"/>
            </w:tcBorders>
            <w:shd w:val="clear" w:color="auto" w:fill="FFFFFF"/>
            <w:vAlign w:val="center"/>
          </w:tcPr>
          <w:p w14:paraId="1D99283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1600" w:type="dxa"/>
            <w:tcBorders>
              <w:tl2br w:val="nil"/>
              <w:tr2bl w:val="nil"/>
            </w:tcBorders>
            <w:shd w:val="clear" w:color="auto" w:fill="FFFFFF"/>
            <w:vAlign w:val="center"/>
          </w:tcPr>
          <w:p w14:paraId="22474C9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0BBC5C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1CD873F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16</w:t>
            </w:r>
          </w:p>
        </w:tc>
        <w:tc>
          <w:tcPr>
            <w:tcW w:w="4166" w:type="dxa"/>
            <w:tcBorders>
              <w:tl2br w:val="nil"/>
              <w:tr2bl w:val="nil"/>
            </w:tcBorders>
            <w:shd w:val="clear" w:color="auto" w:fill="FFFFFF"/>
            <w:vAlign w:val="center"/>
          </w:tcPr>
          <w:p w14:paraId="4316132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临终患者的护理</w:t>
            </w:r>
          </w:p>
        </w:tc>
        <w:tc>
          <w:tcPr>
            <w:tcW w:w="1372" w:type="dxa"/>
            <w:tcBorders>
              <w:tl2br w:val="nil"/>
              <w:tr2bl w:val="nil"/>
            </w:tcBorders>
            <w:shd w:val="clear" w:color="auto" w:fill="FFFFFF"/>
            <w:vAlign w:val="center"/>
          </w:tcPr>
          <w:p w14:paraId="5D3E4F7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1600" w:type="dxa"/>
            <w:tcBorders>
              <w:tl2br w:val="nil"/>
              <w:tr2bl w:val="nil"/>
            </w:tcBorders>
            <w:shd w:val="clear" w:color="auto" w:fill="FFFFFF"/>
            <w:vAlign w:val="center"/>
          </w:tcPr>
          <w:p w14:paraId="66AF505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4E30526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34071B7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17</w:t>
            </w:r>
          </w:p>
        </w:tc>
        <w:tc>
          <w:tcPr>
            <w:tcW w:w="4166" w:type="dxa"/>
            <w:tcBorders>
              <w:tl2br w:val="nil"/>
              <w:tr2bl w:val="nil"/>
            </w:tcBorders>
            <w:shd w:val="clear" w:color="auto" w:fill="FFFFFF"/>
            <w:vAlign w:val="center"/>
          </w:tcPr>
          <w:p w14:paraId="61AAD8D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医疗和护理文件书写</w:t>
            </w:r>
          </w:p>
        </w:tc>
        <w:tc>
          <w:tcPr>
            <w:tcW w:w="1372" w:type="dxa"/>
            <w:tcBorders>
              <w:tl2br w:val="nil"/>
              <w:tr2bl w:val="nil"/>
            </w:tcBorders>
            <w:shd w:val="clear" w:color="auto" w:fill="FFFFFF"/>
            <w:vAlign w:val="center"/>
          </w:tcPr>
          <w:p w14:paraId="78B0DDB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1600" w:type="dxa"/>
            <w:tcBorders>
              <w:tl2br w:val="nil"/>
              <w:tr2bl w:val="nil"/>
            </w:tcBorders>
            <w:shd w:val="clear" w:color="auto" w:fill="FFFFFF"/>
            <w:vAlign w:val="center"/>
          </w:tcPr>
          <w:p w14:paraId="79F5B43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5B0A848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315A296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总计</w:t>
            </w:r>
          </w:p>
        </w:tc>
        <w:tc>
          <w:tcPr>
            <w:tcW w:w="4166" w:type="dxa"/>
            <w:tcBorders>
              <w:tl2br w:val="nil"/>
              <w:tr2bl w:val="nil"/>
            </w:tcBorders>
            <w:shd w:val="clear" w:color="auto" w:fill="FFFFFF"/>
            <w:vAlign w:val="center"/>
          </w:tcPr>
          <w:p w14:paraId="020942A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c>
          <w:tcPr>
            <w:tcW w:w="1372" w:type="dxa"/>
            <w:tcBorders>
              <w:tl2br w:val="nil"/>
              <w:tr2bl w:val="nil"/>
            </w:tcBorders>
            <w:shd w:val="clear" w:color="auto" w:fill="FFFFFF"/>
            <w:vAlign w:val="center"/>
          </w:tcPr>
          <w:p w14:paraId="3FC6461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180</w:t>
            </w:r>
          </w:p>
        </w:tc>
        <w:tc>
          <w:tcPr>
            <w:tcW w:w="1600" w:type="dxa"/>
            <w:tcBorders>
              <w:tl2br w:val="nil"/>
              <w:tr2bl w:val="nil"/>
            </w:tcBorders>
            <w:shd w:val="clear" w:color="auto" w:fill="FFFFFF"/>
            <w:vAlign w:val="center"/>
          </w:tcPr>
          <w:p w14:paraId="0823F74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bl>
    <w:p w14:paraId="4C7BE318">
      <w:pPr>
        <w:rPr>
          <w:rFonts w:hint="eastAsia" w:ascii="黑体" w:hAnsi="黑体" w:eastAsia="黑体" w:cs="黑体"/>
          <w:b/>
          <w:bCs/>
          <w:color w:val="000000" w:themeColor="text1"/>
          <w:sz w:val="44"/>
          <w:szCs w:val="44"/>
          <w:lang w:eastAsia="zh-CN"/>
          <w14:textFill>
            <w14:solidFill>
              <w14:schemeClr w14:val="tx1"/>
            </w14:solidFill>
          </w14:textFill>
        </w:rPr>
      </w:pPr>
    </w:p>
    <w:p w14:paraId="5F3F8945">
      <w:pPr>
        <w:rPr>
          <w:rFonts w:hint="eastAsia" w:ascii="微软简老宋" w:hAnsi="微软简老宋" w:eastAsia="微软简老宋" w:cs="微软简老宋"/>
          <w:b w:val="0"/>
          <w:bCs w:val="0"/>
          <w:color w:val="00B0F0"/>
          <w:sz w:val="32"/>
          <w:szCs w:val="32"/>
        </w:rPr>
      </w:pPr>
      <w:r>
        <w:rPr>
          <w:rFonts w:hint="eastAsia" w:ascii="微软简老宋" w:hAnsi="微软简老宋" w:eastAsia="微软简老宋" w:cs="微软简老宋"/>
          <w:b w:val="0"/>
          <w:bCs w:val="0"/>
          <w:color w:val="00B0F0"/>
          <w:sz w:val="32"/>
          <w:szCs w:val="32"/>
        </w:rPr>
        <w:br w:type="page"/>
      </w:r>
    </w:p>
    <w:p w14:paraId="7C01B318">
      <w:pPr>
        <w:pStyle w:val="3"/>
        <w:bidi w:val="0"/>
        <w:jc w:val="center"/>
        <w:rPr>
          <w:rFonts w:hint="eastAsia"/>
          <w:color w:val="6787B2"/>
          <w:lang w:eastAsia="zh-CN"/>
        </w:rPr>
      </w:pPr>
      <w:r>
        <w:rPr>
          <w:rFonts w:hint="eastAsia" w:ascii="Times New Roman" w:hAnsi="Times New Roman"/>
          <w:b/>
          <w:bCs/>
          <w:sz w:val="28"/>
          <w:szCs w:val="28"/>
        </w:rPr>
        <w:t>第</w:t>
      </w:r>
      <w:r>
        <w:rPr>
          <w:rFonts w:hint="eastAsia" w:ascii="Times New Roman" w:hAnsi="Times New Roman"/>
          <w:b/>
          <w:bCs/>
          <w:sz w:val="28"/>
          <w:szCs w:val="28"/>
          <w:lang w:val="en-US" w:eastAsia="zh-CN"/>
        </w:rPr>
        <w:t>2</w:t>
      </w:r>
      <w:r>
        <w:rPr>
          <w:rFonts w:hint="eastAsia" w:ascii="Times New Roman" w:hAnsi="Times New Roman"/>
          <w:b/>
          <w:bCs/>
          <w:sz w:val="28"/>
          <w:szCs w:val="28"/>
        </w:rPr>
        <w:t>课  护理程序</w:t>
      </w:r>
    </w:p>
    <w:tbl>
      <w:tblPr>
        <w:tblStyle w:val="10"/>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Layout w:type="fixed"/>
        <w:tblCellMar>
          <w:top w:w="0" w:type="dxa"/>
          <w:left w:w="108" w:type="dxa"/>
          <w:bottom w:w="0" w:type="dxa"/>
          <w:right w:w="108" w:type="dxa"/>
        </w:tblCellMar>
      </w:tblPr>
      <w:tblGrid>
        <w:gridCol w:w="1541"/>
        <w:gridCol w:w="7014"/>
        <w:gridCol w:w="1650"/>
      </w:tblGrid>
      <w:tr w14:paraId="29E1F15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22008509">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bookmarkStart w:id="0" w:name="_GoBack" w:colFirst="1" w:colLast="2"/>
            <w:r>
              <w:rPr>
                <w:rFonts w:hint="default" w:ascii="Times New Roman" w:hAnsi="宋体"/>
                <w:b/>
                <w:szCs w:val="20"/>
              </w:rPr>
              <w:t>课</w:t>
            </w:r>
            <w:r>
              <w:rPr>
                <w:rFonts w:hint="default" w:ascii="Times New Roman" w:hAnsi="Times New Roman"/>
                <w:b/>
                <w:szCs w:val="20"/>
              </w:rPr>
              <w:t xml:space="preserve">  </w:t>
            </w:r>
            <w:r>
              <w:rPr>
                <w:rFonts w:hint="eastAsia" w:ascii="Times New Roman" w:hAnsi="Times New Roman"/>
                <w:b/>
                <w:szCs w:val="20"/>
              </w:rPr>
              <w:t>题</w:t>
            </w:r>
          </w:p>
        </w:tc>
        <w:tc>
          <w:tcPr>
            <w:tcW w:w="7173" w:type="dxa"/>
            <w:gridSpan w:val="2"/>
            <w:tcBorders>
              <w:tl2br w:val="nil"/>
              <w:tr2bl w:val="nil"/>
            </w:tcBorders>
            <w:vAlign w:val="center"/>
          </w:tcPr>
          <w:p w14:paraId="578F3FDA">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护理程序</w:t>
            </w:r>
          </w:p>
        </w:tc>
      </w:tr>
      <w:tr w14:paraId="6AC1CA3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3F43EFA6">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课</w:t>
            </w:r>
            <w:r>
              <w:rPr>
                <w:rFonts w:hint="eastAsia" w:ascii="Times New Roman" w:hAnsi="宋体"/>
                <w:b/>
                <w:szCs w:val="20"/>
              </w:rPr>
              <w:t xml:space="preserve"> </w:t>
            </w:r>
            <w:r>
              <w:rPr>
                <w:rFonts w:hint="default" w:ascii="Times New Roman" w:hAnsi="宋体"/>
                <w:b/>
                <w:szCs w:val="20"/>
              </w:rPr>
              <w:t xml:space="preserve"> 时</w:t>
            </w:r>
          </w:p>
        </w:tc>
        <w:tc>
          <w:tcPr>
            <w:tcW w:w="7173" w:type="dxa"/>
            <w:gridSpan w:val="2"/>
            <w:tcBorders>
              <w:tl2br w:val="nil"/>
              <w:tr2bl w:val="nil"/>
            </w:tcBorders>
            <w:vAlign w:val="center"/>
          </w:tcPr>
          <w:p w14:paraId="6EAF162D">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szCs w:val="20"/>
                <w:lang w:val="en-US" w:eastAsia="zh-CN"/>
              </w:rPr>
              <w:t>6</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270</w:t>
            </w:r>
            <w:r>
              <w:rPr>
                <w:rFonts w:hint="eastAsia" w:ascii="Times New Roman" w:hAnsi="宋体"/>
                <w:szCs w:val="20"/>
              </w:rPr>
              <w:t>min）。</w:t>
            </w:r>
          </w:p>
        </w:tc>
      </w:tr>
      <w:tr w14:paraId="4F59F77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3787C299">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教学目标</w:t>
            </w:r>
          </w:p>
        </w:tc>
        <w:tc>
          <w:tcPr>
            <w:tcW w:w="7173" w:type="dxa"/>
            <w:gridSpan w:val="2"/>
            <w:tcBorders>
              <w:tl2br w:val="nil"/>
              <w:tr2bl w:val="nil"/>
            </w:tcBorders>
            <w:vAlign w:val="center"/>
          </w:tcPr>
          <w:p w14:paraId="4ACA823F">
            <w:pPr>
              <w:keepNext w:val="0"/>
              <w:keepLines w:val="0"/>
              <w:suppressLineNumbers w:val="0"/>
              <w:spacing w:before="0" w:beforeAutospacing="0" w:after="0" w:afterAutospacing="0" w:line="360" w:lineRule="auto"/>
              <w:ind w:left="0" w:right="0" w:hanging="8"/>
              <w:rPr>
                <w:rFonts w:hint="default"/>
                <w:b/>
              </w:rPr>
            </w:pPr>
            <w:r>
              <w:rPr>
                <w:rFonts w:hint="default" w:hAnsi="宋体"/>
                <w:b/>
              </w:rPr>
              <w:t>知识</w:t>
            </w:r>
            <w:r>
              <w:rPr>
                <w:rFonts w:hint="eastAsia" w:hAnsi="宋体"/>
                <w:b/>
              </w:rPr>
              <w:t>技能</w:t>
            </w:r>
            <w:r>
              <w:rPr>
                <w:rFonts w:hint="default" w:hAnsi="宋体"/>
                <w:b/>
              </w:rPr>
              <w:t>目标：</w:t>
            </w:r>
          </w:p>
          <w:p w14:paraId="2F6652A5">
            <w:pPr>
              <w:keepNext w:val="0"/>
              <w:keepLines w:val="0"/>
              <w:suppressLineNumbers w:val="0"/>
              <w:spacing w:before="0" w:beforeAutospacing="0" w:after="0" w:afterAutospacing="0" w:line="360" w:lineRule="auto"/>
              <w:ind w:left="0" w:right="0" w:hanging="8"/>
              <w:rPr>
                <w:rFonts w:hint="default" w:ascii="Times New Roman" w:hAnsi="宋体"/>
                <w:bCs/>
                <w:szCs w:val="20"/>
              </w:rPr>
            </w:pPr>
            <w:r>
              <w:rPr>
                <w:rFonts w:hint="default" w:ascii="Times New Roman" w:hAnsi="Times New Roman"/>
                <w:szCs w:val="20"/>
              </w:rPr>
              <w:t>1</w:t>
            </w:r>
            <w:r>
              <w:rPr>
                <w:rFonts w:hint="default" w:ascii="Times New Roman" w:hAnsi="宋体"/>
                <w:bCs/>
                <w:szCs w:val="20"/>
              </w:rPr>
              <w:t>．</w:t>
            </w:r>
            <w:r>
              <w:rPr>
                <w:rFonts w:hint="eastAsia" w:ascii="Times New Roman" w:hAnsi="宋体"/>
                <w:bCs/>
                <w:szCs w:val="20"/>
              </w:rPr>
              <w:t>能正确复述护理程序的概念、步骤及特点。</w:t>
            </w:r>
          </w:p>
          <w:p w14:paraId="0C0C7356">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Times New Roman"/>
                <w:szCs w:val="20"/>
              </w:rPr>
              <w:t>2</w:t>
            </w:r>
            <w:r>
              <w:rPr>
                <w:rFonts w:hint="default" w:ascii="Times New Roman" w:hAnsi="宋体"/>
                <w:bCs/>
                <w:szCs w:val="20"/>
              </w:rPr>
              <w:t>．</w:t>
            </w:r>
            <w:r>
              <w:rPr>
                <w:rFonts w:hint="eastAsia" w:ascii="Times New Roman" w:hAnsi="宋体"/>
                <w:bCs/>
                <w:szCs w:val="20"/>
              </w:rPr>
              <w:t>说出护理诊断的定义及分类，理解护理诊断的陈述。</w:t>
            </w:r>
          </w:p>
          <w:p w14:paraId="0E446BAB">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14:paraId="3D7D65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default" w:ascii="Times New Roman" w:hAnsi="Times New Roman"/>
                <w:szCs w:val="20"/>
              </w:rPr>
            </w:pPr>
            <w:r>
              <w:rPr>
                <w:rFonts w:hint="eastAsia" w:ascii="Times New Roman" w:hAnsi="宋体"/>
                <w:bCs/>
                <w:szCs w:val="20"/>
              </w:rPr>
              <w:t>让学生通过学习</w:t>
            </w:r>
            <w:r>
              <w:rPr>
                <w:rFonts w:hint="eastAsia" w:ascii="Times New Roman" w:hAnsi="宋体"/>
                <w:bCs/>
                <w:szCs w:val="20"/>
                <w:lang w:eastAsia="zh-CN"/>
              </w:rPr>
              <w:t>护理程序</w:t>
            </w:r>
            <w:r>
              <w:rPr>
                <w:rFonts w:hint="eastAsia" w:ascii="Times New Roman" w:hAnsi="宋体"/>
                <w:bCs/>
                <w:szCs w:val="20"/>
              </w:rPr>
              <w:t>，树立护理程序的思维方法，在日后的临床学习和工作中，能熟练运用护理程序的思维和工作方法。</w:t>
            </w:r>
          </w:p>
        </w:tc>
      </w:tr>
      <w:tr w14:paraId="50C044B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44CC2ECF">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教学重</w:t>
            </w:r>
            <w:r>
              <w:rPr>
                <w:rFonts w:hint="eastAsia" w:ascii="Times New Roman" w:hAnsi="宋体"/>
                <w:b/>
                <w:szCs w:val="20"/>
              </w:rPr>
              <w:t>难</w:t>
            </w:r>
            <w:r>
              <w:rPr>
                <w:rFonts w:hint="default" w:ascii="Times New Roman" w:hAnsi="宋体"/>
                <w:b/>
                <w:szCs w:val="20"/>
              </w:rPr>
              <w:t>点</w:t>
            </w:r>
          </w:p>
        </w:tc>
        <w:tc>
          <w:tcPr>
            <w:tcW w:w="7173" w:type="dxa"/>
            <w:gridSpan w:val="2"/>
            <w:tcBorders>
              <w:tl2br w:val="nil"/>
              <w:tr2bl w:val="nil"/>
            </w:tcBorders>
            <w:vAlign w:val="center"/>
          </w:tcPr>
          <w:p w14:paraId="6A606C7B">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护理程序的概念及发展历史</w:t>
            </w:r>
          </w:p>
          <w:p w14:paraId="5E031A05">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b/>
                <w:szCs w:val="20"/>
              </w:rPr>
              <w:t>教学难点：</w:t>
            </w:r>
            <w:r>
              <w:rPr>
                <w:rFonts w:hint="eastAsia" w:ascii="宋体" w:hAnsi="宋体" w:cs="宋体"/>
                <w:kern w:val="0"/>
              </w:rPr>
              <w:t>护理程序的特点</w:t>
            </w:r>
          </w:p>
        </w:tc>
      </w:tr>
      <w:tr w14:paraId="1F554CB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166C605B">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教学方法</w:t>
            </w:r>
          </w:p>
        </w:tc>
        <w:tc>
          <w:tcPr>
            <w:tcW w:w="7173" w:type="dxa"/>
            <w:gridSpan w:val="2"/>
            <w:tcBorders>
              <w:tl2br w:val="nil"/>
              <w:tr2bl w:val="nil"/>
            </w:tcBorders>
            <w:vAlign w:val="center"/>
          </w:tcPr>
          <w:p w14:paraId="1D9452D2">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讲授法、问答法、讨论法</w:t>
            </w:r>
          </w:p>
        </w:tc>
      </w:tr>
      <w:tr w14:paraId="2B0E368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3FBD7809">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教学用具</w:t>
            </w:r>
          </w:p>
        </w:tc>
        <w:tc>
          <w:tcPr>
            <w:tcW w:w="7173" w:type="dxa"/>
            <w:gridSpan w:val="2"/>
            <w:tcBorders>
              <w:tl2br w:val="nil"/>
              <w:tr2bl w:val="nil"/>
            </w:tcBorders>
            <w:vAlign w:val="center"/>
          </w:tcPr>
          <w:p w14:paraId="64B4B2E0">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10AB029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bottom w:val="double" w:color="4472C4" w:themeColor="accent5" w:sz="4" w:space="0"/>
              <w:tl2br w:val="nil"/>
              <w:tr2bl w:val="nil"/>
            </w:tcBorders>
            <w:shd w:val="clear" w:color="auto" w:fill="D0E6FF"/>
            <w:vAlign w:val="center"/>
          </w:tcPr>
          <w:p w14:paraId="1CFEC40A">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教学设计</w:t>
            </w:r>
          </w:p>
        </w:tc>
        <w:tc>
          <w:tcPr>
            <w:tcW w:w="7173" w:type="dxa"/>
            <w:gridSpan w:val="2"/>
            <w:tcBorders>
              <w:bottom w:val="double" w:color="4472C4" w:themeColor="accent5" w:sz="4" w:space="0"/>
              <w:tl2br w:val="nil"/>
              <w:tr2bl w:val="nil"/>
            </w:tcBorders>
            <w:vAlign w:val="center"/>
          </w:tcPr>
          <w:p w14:paraId="01F4578F">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1</w:t>
            </w:r>
            <w:r>
              <w:rPr>
                <w:rFonts w:hint="eastAsia" w:ascii="Times New Roman" w:hAnsi="宋体"/>
                <w:kern w:val="0"/>
                <w:szCs w:val="20"/>
              </w:rPr>
              <w:t>节课：</w:t>
            </w:r>
            <w:r>
              <w:rPr>
                <w:rFonts w:hint="eastAsia" w:ascii="Times New Roman" w:hAnsi="宋体"/>
                <w:szCs w:val="20"/>
                <w:lang w:eastAsia="zh-CN"/>
              </w:rPr>
              <w:t>考勤</w:t>
            </w:r>
            <w:r>
              <w:rPr>
                <w:rFonts w:hint="eastAsia" w:ascii="Times New Roman" w:hAnsi="宋体"/>
                <w:szCs w:val="20"/>
              </w:rPr>
              <w:t>（</w:t>
            </w:r>
            <w:r>
              <w:rPr>
                <w:rFonts w:hint="eastAsia" w:ascii="Times New Roman" w:hAnsi="宋体"/>
                <w:szCs w:val="20"/>
                <w:lang w:val="en-US" w:eastAsia="zh-CN"/>
              </w:rPr>
              <w:t>2</w:t>
            </w:r>
            <w:r>
              <w:rPr>
                <w:rFonts w:hint="eastAsia" w:ascii="Times New Roman" w:hAnsi="宋体"/>
                <w:szCs w:val="20"/>
              </w:rPr>
              <w:t>min）--</w:t>
            </w:r>
            <w:r>
              <w:rPr>
                <w:rFonts w:hint="eastAsia" w:ascii="Times New Roman" w:hAnsi="宋体"/>
                <w:szCs w:val="20"/>
                <w:lang w:eastAsia="zh-CN"/>
              </w:rPr>
              <w:t>知识讲解</w:t>
            </w:r>
            <w:r>
              <w:rPr>
                <w:rFonts w:hint="eastAsia" w:ascii="Times New Roman" w:hAnsi="宋体"/>
                <w:szCs w:val="20"/>
              </w:rPr>
              <w:t>（</w:t>
            </w:r>
            <w:r>
              <w:rPr>
                <w:rFonts w:hint="default" w:ascii="Times New Roman" w:hAnsi="宋体"/>
                <w:szCs w:val="20"/>
              </w:rPr>
              <w:t>40</w:t>
            </w:r>
            <w:r>
              <w:rPr>
                <w:rFonts w:hint="eastAsia" w:ascii="Times New Roman" w:hAnsi="宋体"/>
                <w:szCs w:val="20"/>
              </w:rPr>
              <w:t>min）</w:t>
            </w:r>
            <w:r>
              <w:rPr>
                <w:rFonts w:hint="eastAsia" w:ascii="Times New Roman" w:hAnsi="宋体"/>
                <w:szCs w:val="20"/>
                <w:lang w:val="en-US" w:eastAsia="zh-CN"/>
              </w:rPr>
              <w:t>--作业布置（3min）</w:t>
            </w:r>
          </w:p>
          <w:p w14:paraId="532AEF50">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2</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val="en-US" w:eastAsia="zh-CN"/>
              </w:rPr>
              <w:t>--作业布置（2min）</w:t>
            </w:r>
          </w:p>
          <w:p w14:paraId="385E7C5F">
            <w:pPr>
              <w:keepNext w:val="0"/>
              <w:keepLines w:val="0"/>
              <w:suppressLineNumbers w:val="0"/>
              <w:spacing w:before="0" w:beforeAutospacing="0" w:after="0" w:afterAutospacing="0" w:line="360" w:lineRule="auto"/>
              <w:ind w:left="0" w:right="0" w:hanging="8"/>
              <w:rPr>
                <w:rFonts w:hint="eastAsia" w:ascii="Times New Roman" w:hAnsi="宋体"/>
                <w:szCs w:val="20"/>
              </w:rPr>
            </w:pPr>
            <w:r>
              <w:rPr>
                <w:rFonts w:hint="eastAsia" w:ascii="Times New Roman" w:hAnsi="宋体"/>
                <w:kern w:val="0"/>
                <w:szCs w:val="20"/>
              </w:rPr>
              <w:t>第</w:t>
            </w:r>
            <w:r>
              <w:rPr>
                <w:rFonts w:hint="default" w:ascii="Times New Roman" w:hAnsi="宋体"/>
                <w:kern w:val="0"/>
                <w:szCs w:val="20"/>
              </w:rPr>
              <w:t>3</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eastAsia="zh-CN"/>
              </w:rPr>
              <w:t>作业布置</w:t>
            </w:r>
            <w:r>
              <w:rPr>
                <w:rFonts w:hint="eastAsia" w:ascii="Times New Roman" w:hAnsi="宋体"/>
                <w:szCs w:val="20"/>
              </w:rPr>
              <w:t>（2min）</w:t>
            </w:r>
          </w:p>
          <w:p w14:paraId="745ED101">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4</w:t>
            </w:r>
            <w:r>
              <w:rPr>
                <w:rFonts w:hint="default" w:ascii="Times New Roman" w:hAnsi="宋体"/>
                <w:szCs w:val="20"/>
              </w:rPr>
              <w:t>节课：知识讲解（40min）--课堂小结（3min）--作业布置（2min）</w:t>
            </w:r>
          </w:p>
          <w:p w14:paraId="61B09FDA">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5</w:t>
            </w:r>
            <w:r>
              <w:rPr>
                <w:rFonts w:hint="default" w:ascii="Times New Roman" w:hAnsi="宋体"/>
                <w:szCs w:val="20"/>
              </w:rPr>
              <w:t>节课：知识讲解（40min）--课堂小结（3min）--作业布置（2min）</w:t>
            </w:r>
          </w:p>
          <w:p w14:paraId="32D9F467">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6</w:t>
            </w:r>
            <w:r>
              <w:rPr>
                <w:rFonts w:hint="default" w:ascii="Times New Roman" w:hAnsi="宋体"/>
                <w:szCs w:val="20"/>
              </w:rPr>
              <w:t>节课：知识讲解（40min）--课堂小结（3min）--作业布置（2min）</w:t>
            </w:r>
          </w:p>
        </w:tc>
      </w:tr>
      <w:tr w14:paraId="47B4BC7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bottom w:val="double" w:color="4472C4" w:themeColor="accent5" w:sz="4" w:space="0"/>
            </w:tcBorders>
            <w:shd w:val="clear" w:color="auto" w:fill="D0E6FF"/>
            <w:vAlign w:val="center"/>
          </w:tcPr>
          <w:p w14:paraId="44E13E37">
            <w:pPr>
              <w:keepNext w:val="0"/>
              <w:keepLines w:val="0"/>
              <w:suppressLineNumbers w:val="0"/>
              <w:spacing w:before="0" w:beforeAutospacing="0" w:after="0" w:afterAutospacing="0" w:line="360" w:lineRule="auto"/>
              <w:ind w:left="0" w:right="0" w:hanging="8"/>
              <w:jc w:val="center"/>
              <w:rPr>
                <w:rFonts w:hint="default" w:ascii="Times New Roman" w:hAnsi="Times New Roman"/>
                <w:b/>
                <w:bCs w:val="0"/>
                <w:color w:val="C00000"/>
                <w:szCs w:val="24"/>
              </w:rPr>
            </w:pPr>
            <w:r>
              <w:rPr>
                <w:rFonts w:hint="eastAsia" w:ascii="Times New Roman" w:hAnsi="Times New Roman"/>
                <w:b/>
                <w:bCs w:val="0"/>
                <w:color w:val="C00000"/>
                <w:szCs w:val="24"/>
              </w:rPr>
              <w:t>教学过程</w:t>
            </w:r>
          </w:p>
        </w:tc>
        <w:tc>
          <w:tcPr>
            <w:tcW w:w="5807" w:type="dxa"/>
            <w:tcBorders>
              <w:top w:val="double" w:color="4472C4" w:themeColor="accent5" w:sz="4" w:space="0"/>
              <w:bottom w:val="double" w:color="4472C4" w:themeColor="accent5" w:sz="4" w:space="0"/>
            </w:tcBorders>
            <w:shd w:val="clear" w:color="auto" w:fill="D0E6FF"/>
            <w:vAlign w:val="center"/>
          </w:tcPr>
          <w:p w14:paraId="70330CB1">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eastAsia" w:ascii="Times New Roman" w:hAnsi="Times New Roman"/>
                <w:b/>
                <w:bCs w:val="0"/>
                <w:color w:val="C00000"/>
                <w:szCs w:val="24"/>
              </w:rPr>
              <w:t>主 要 教 学 内 容 及 步 骤</w:t>
            </w:r>
          </w:p>
        </w:tc>
        <w:tc>
          <w:tcPr>
            <w:tcW w:w="1366" w:type="dxa"/>
            <w:tcBorders>
              <w:top w:val="double" w:color="4472C4" w:themeColor="accent5" w:sz="4" w:space="0"/>
              <w:bottom w:val="double" w:color="4472C4" w:themeColor="accent5" w:sz="4" w:space="0"/>
            </w:tcBorders>
            <w:shd w:val="clear" w:color="auto" w:fill="D0E6FF"/>
            <w:vAlign w:val="center"/>
          </w:tcPr>
          <w:p w14:paraId="028374C4">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tr w14:paraId="3E172E7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tl2br w:val="nil"/>
              <w:tr2bl w:val="nil"/>
            </w:tcBorders>
            <w:shd w:val="clear" w:color="auto" w:fill="D0E6FF"/>
            <w:vAlign w:val="center"/>
          </w:tcPr>
          <w:p w14:paraId="303FA292">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考勤</w:t>
            </w:r>
          </w:p>
          <w:p w14:paraId="75287764">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w:t>
            </w:r>
            <w:r>
              <w:rPr>
                <w:rFonts w:hint="eastAsia" w:ascii="Times New Roman" w:hAnsi="Times New Roman"/>
                <w:b/>
                <w:szCs w:val="24"/>
                <w:lang w:val="en-US" w:eastAsia="zh-CN"/>
              </w:rPr>
              <w:t>2min</w:t>
            </w:r>
            <w:r>
              <w:rPr>
                <w:rFonts w:hint="eastAsia" w:ascii="Times New Roman" w:hAnsi="Times New Roman"/>
                <w:b/>
                <w:szCs w:val="24"/>
                <w:lang w:eastAsia="zh-CN"/>
              </w:rPr>
              <w:t>）</w:t>
            </w:r>
          </w:p>
        </w:tc>
        <w:tc>
          <w:tcPr>
            <w:tcW w:w="5807" w:type="dxa"/>
            <w:tcBorders>
              <w:top w:val="double" w:color="4472C4" w:themeColor="accent5" w:sz="4" w:space="0"/>
              <w:tl2br w:val="nil"/>
              <w:tr2bl w:val="nil"/>
            </w:tcBorders>
            <w:vAlign w:val="center"/>
          </w:tcPr>
          <w:p w14:paraId="7A599A0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14:paraId="49EF217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366" w:type="dxa"/>
            <w:tcBorders>
              <w:top w:val="double" w:color="4472C4" w:themeColor="accent5" w:sz="4" w:space="0"/>
              <w:tl2br w:val="nil"/>
              <w:tr2bl w:val="nil"/>
            </w:tcBorders>
            <w:vAlign w:val="center"/>
          </w:tcPr>
          <w:p w14:paraId="34E8817D">
            <w:pPr>
              <w:keepNext w:val="0"/>
              <w:keepLines w:val="0"/>
              <w:suppressLineNumbers w:val="0"/>
              <w:spacing w:before="0" w:beforeAutospacing="0" w:after="0" w:afterAutospacing="0" w:line="360" w:lineRule="auto"/>
              <w:ind w:left="0" w:right="0"/>
              <w:jc w:val="center"/>
              <w:rPr>
                <w:rFonts w:hint="default" w:ascii="Times New Roman" w:hAnsi="Times New Roman"/>
                <w:szCs w:val="20"/>
              </w:rPr>
            </w:pPr>
            <w:r>
              <w:rPr>
                <w:rFonts w:hint="eastAsia" w:ascii="Times New Roman" w:hAnsi="Times New Roman"/>
                <w:szCs w:val="20"/>
              </w:rPr>
              <w:t>培养学生的组织纪律性,掌握学生的出勤情况</w:t>
            </w:r>
          </w:p>
        </w:tc>
      </w:tr>
      <w:tr w14:paraId="353367B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34B07FA9">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0E3D7E73">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w:t>
            </w:r>
            <w:r>
              <w:rPr>
                <w:rFonts w:hint="eastAsia" w:ascii="Times New Roman" w:hAnsi="Times New Roman"/>
                <w:szCs w:val="24"/>
                <w:lang w:val="en-US" w:eastAsia="zh-CN"/>
              </w:rPr>
              <w:t>40</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47FB2CB8">
            <w:pPr>
              <w:keepNext w:val="0"/>
              <w:keepLines w:val="0"/>
              <w:suppressLineNumbers w:val="0"/>
              <w:spacing w:before="0" w:beforeAutospacing="0" w:after="0" w:afterAutospacing="0" w:line="360" w:lineRule="auto"/>
              <w:ind w:left="0" w:right="0"/>
              <w:rPr>
                <w:rFonts w:hint="default" w:ascii="Times New Roman" w:hAnsi="Times New Roman"/>
                <w:b/>
                <w:color w:val="C00000"/>
                <w:lang w:val="en-US"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展示概述（一）</w:t>
            </w:r>
          </w:p>
          <w:p w14:paraId="614305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一、护理程序的概念及发展历史</w:t>
            </w:r>
          </w:p>
          <w:p w14:paraId="4104CC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（一）护理程序的概念</w:t>
            </w:r>
          </w:p>
          <w:p w14:paraId="514A2B3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护理程序是以促进和恢复患者的健康为目标所进行的一系列有目的、有计划的护理活动，是一个综合的、动态的、具有决策和反馈功能的过程，是为服务对象提供护理照顾时所应用的工作程序，也是一种系统地解决问题的方法。护理程序要求对服务对象提供主动、全面的整体护理，使其达到最佳健康状态。</w:t>
            </w:r>
          </w:p>
          <w:p w14:paraId="721D29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（二）护理程序的发展历史</w:t>
            </w:r>
          </w:p>
          <w:p w14:paraId="496D74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护理程序是 20 世纪 50 年代由美国学者提出并逐渐形成的一种新型的、科学的护理工作方式。20 世纪 80 年代初护理程序传入我国。</w:t>
            </w:r>
          </w:p>
          <w:p w14:paraId="42C365D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1955 年其概念由美国护理学者莉迪亚·海尔（Lydia Hall）首先提出，她认为护理工作是“按程序进行的工作”。1960 年前后，Johnson、Orlando 等专家提出“护理程序是由一系列步骤组成的”，包括评估、计划、评价三个步骤。</w:t>
            </w:r>
          </w:p>
          <w:p w14:paraId="3958A1B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bCs w:val="0"/>
                <w:color w:val="000000"/>
                <w:kern w:val="2"/>
                <w:sz w:val="21"/>
                <w:szCs w:val="21"/>
                <w:lang w:val="en-US" w:eastAsia="zh-CN" w:bidi="ar"/>
              </w:rPr>
            </w:pPr>
            <w:r>
              <w:rPr>
                <w:rFonts w:hint="eastAsia" w:ascii="Times New Roman" w:hAnsi="Times New Roman"/>
                <w:b w:val="0"/>
                <w:bCs/>
                <w:color w:val="000000" w:themeColor="text1"/>
                <w:lang w:eastAsia="zh-CN"/>
                <w14:textFill>
                  <w14:solidFill>
                    <w14:schemeClr w14:val="tx1"/>
                  </w14:solidFill>
                </w14:textFill>
              </w:rPr>
              <w:t>1967 年，护理程序得到进一步发展而成为四个步骤，即在“计划”之后增加了“实施”。当时护理诊断一直是护理程序的第一步“评估”中的一部分，直到 1973 年北美护理诊断协会第一次会议之后，许多专家提出应将护理诊断作为护理程序中一个独立的步骤。</w:t>
            </w:r>
          </w:p>
          <w:p w14:paraId="0475D3FC">
            <w:pPr>
              <w:keepNext w:val="0"/>
              <w:keepLines w:val="0"/>
              <w:widowControl w:val="0"/>
              <w:suppressLineNumbers w:val="0"/>
              <w:autoSpaceDE w:val="0"/>
              <w:autoSpaceDN/>
              <w:spacing w:before="0" w:beforeAutospacing="0" w:after="0" w:afterAutospacing="0" w:line="360" w:lineRule="auto"/>
              <w:ind w:left="0" w:right="0"/>
              <w:jc w:val="left"/>
              <w:rPr>
                <w:rFonts w:hint="default" w:ascii="Times New Roman" w:hAnsi="Times New Roman"/>
                <w:b/>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60710A86">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展示概述（一）</w:t>
            </w:r>
            <w:r>
              <w:rPr>
                <w:rFonts w:hint="eastAsia" w:ascii="Times New Roman" w:hAnsi="Times New Roman"/>
                <w:b/>
                <w:szCs w:val="24"/>
              </w:rPr>
              <w:t>，</w:t>
            </w:r>
            <w:r>
              <w:rPr>
                <w:rFonts w:hint="eastAsia" w:ascii="Times New Roman" w:hAnsi="Times New Roman"/>
                <w:b/>
                <w:szCs w:val="24"/>
                <w:lang w:eastAsia="zh-CN"/>
              </w:rPr>
              <w:t>让学生更加仔细的阅读，从而</w:t>
            </w:r>
            <w:r>
              <w:rPr>
                <w:rFonts w:hint="eastAsia" w:ascii="Times New Roman" w:hAnsi="Times New Roman"/>
                <w:b/>
                <w:szCs w:val="24"/>
              </w:rPr>
              <w:t>激发学生的学习欲望。</w:t>
            </w:r>
          </w:p>
        </w:tc>
      </w:tr>
      <w:tr w14:paraId="3646942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668E41D2">
            <w:pPr>
              <w:keepNext w:val="0"/>
              <w:keepLines w:val="0"/>
              <w:suppressLineNumbers w:val="0"/>
              <w:spacing w:before="0" w:beforeAutospacing="0" w:after="0" w:afterAutospacing="0" w:line="264" w:lineRule="auto"/>
              <w:ind w:left="0" w:right="0" w:hanging="8"/>
              <w:jc w:val="center"/>
              <w:rPr>
                <w:rFonts w:hint="default" w:ascii="Times New Roman" w:hAnsi="Times New Roman"/>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Cs w:val="24"/>
              </w:rPr>
              <w:t>（</w:t>
            </w:r>
            <w:r>
              <w:rPr>
                <w:rFonts w:hint="eastAsia" w:ascii="Times New Roman" w:hAnsi="Times New Roman"/>
                <w:b w:val="0"/>
                <w:bCs w:val="0"/>
                <w:szCs w:val="24"/>
                <w:lang w:val="en-US" w:eastAsia="zh-CN"/>
              </w:rPr>
              <w:t>3</w:t>
            </w:r>
            <w:r>
              <w:rPr>
                <w:rFonts w:hint="eastAsia" w:ascii="Times New Roman" w:hAnsi="Times New Roman"/>
                <w:b w:val="0"/>
                <w:bCs w:val="0"/>
                <w:szCs w:val="24"/>
              </w:rPr>
              <w:t>min）</w:t>
            </w:r>
          </w:p>
        </w:tc>
        <w:tc>
          <w:tcPr>
            <w:tcW w:w="5807" w:type="dxa"/>
            <w:tcBorders>
              <w:tl2br w:val="nil"/>
              <w:tr2bl w:val="nil"/>
            </w:tcBorders>
            <w:vAlign w:val="center"/>
          </w:tcPr>
          <w:p w14:paraId="5C42439C">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4E54CE96">
            <w:pPr>
              <w:keepNext w:val="0"/>
              <w:keepLines w:val="0"/>
              <w:suppressLineNumbers w:val="0"/>
              <w:spacing w:before="0" w:beforeAutospacing="0" w:after="0" w:afterAutospacing="0" w:line="360" w:lineRule="auto"/>
              <w:ind w:left="0" w:right="0" w:firstLine="422" w:firstLineChars="200"/>
              <w:rPr>
                <w:rFonts w:hint="eastAsia" w:hAnsi="宋体" w:eastAsia="宋体"/>
                <w:bCs/>
                <w:lang w:eastAsia="zh-CN"/>
              </w:rPr>
            </w:pPr>
            <w:r>
              <w:rPr>
                <w:rFonts w:hint="eastAsia" w:hAnsi="宋体"/>
                <w:b/>
                <w:bCs w:val="0"/>
                <w:lang w:val="en-US" w:eastAsia="zh-CN"/>
              </w:rPr>
              <w:t>简述护理程序的概念。</w:t>
            </w:r>
          </w:p>
        </w:tc>
        <w:tc>
          <w:tcPr>
            <w:tcW w:w="1366" w:type="dxa"/>
            <w:tcBorders>
              <w:tl2br w:val="nil"/>
              <w:tr2bl w:val="nil"/>
            </w:tcBorders>
            <w:vAlign w:val="center"/>
          </w:tcPr>
          <w:p w14:paraId="2B6182C5">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10D5B99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045A9B36">
            <w:pPr>
              <w:keepNext w:val="0"/>
              <w:keepLines w:val="0"/>
              <w:suppressLineNumbers w:val="0"/>
              <w:spacing w:before="0" w:beforeAutospacing="0" w:after="0" w:afterAutospacing="0" w:line="264"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6AE3F8BD">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547FD849">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展示概述（</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14:paraId="25E0FC7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二、护理程序的特点</w:t>
            </w:r>
          </w:p>
          <w:p w14:paraId="30FC118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（一）动态、重叠、循环性</w:t>
            </w:r>
          </w:p>
          <w:p w14:paraId="0003FC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患者的病情是变化的，需动态地评估患者的健康状况，并随时修改护理计划和采取相应的护理措施，所以护理程序的五个步骤往往是相互重叠，循环反复地进行。</w:t>
            </w:r>
          </w:p>
          <w:p w14:paraId="28FA9C3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（二）组织、计划性</w:t>
            </w:r>
          </w:p>
          <w:p w14:paraId="7D87E6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护理人员首先依据收集的资料，综合评估患者现存的和潜在的健康问题，并根据问题的主次制订相应的护理计划。</w:t>
            </w:r>
          </w:p>
          <w:p w14:paraId="38864E8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（三）互动性和协作性</w:t>
            </w:r>
          </w:p>
          <w:p w14:paraId="5F8643F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护理程序的执行是需要护士和其他医务工作者、患者及其家属共同参与的；护士需要具有良好的人际沟通和合作能力。</w:t>
            </w:r>
          </w:p>
          <w:p w14:paraId="1A67B1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（四）创造性</w:t>
            </w:r>
          </w:p>
          <w:p w14:paraId="60A3AB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使用护理程序可以发挥护士的创造性，针对患者的具体需求提供个性化护理。</w:t>
            </w:r>
          </w:p>
          <w:p w14:paraId="1BAB3C9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（五）以人为中心</w:t>
            </w:r>
          </w:p>
          <w:p w14:paraId="6D71C55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在护理实践中使用护理程序的目的是保证护士能为患者提供高质量的，以患者为中心的整体护理。</w:t>
            </w:r>
          </w:p>
          <w:p w14:paraId="312A145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（六）有理论依据 护理程序的指导意义</w:t>
            </w:r>
          </w:p>
          <w:p w14:paraId="7FE9D6E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护理程序运用过程中以很多理论为基础，如一般系统论、基本需要层次论、沟通理论、应激与适应理论等。</w:t>
            </w:r>
          </w:p>
          <w:p w14:paraId="229F928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（七）普遍性、适用性</w:t>
            </w:r>
          </w:p>
          <w:p w14:paraId="295884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无论护理对象是个人、家庭还是社区，无论护理工作的场所是医院、诊所还是老人院，护士都可以运用护理程序为护理对象提供护理服务。</w:t>
            </w:r>
          </w:p>
          <w:p w14:paraId="17534D7A">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1E418F97">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通过教师讲解，了解概述（</w:t>
            </w:r>
            <w:r>
              <w:rPr>
                <w:rFonts w:hint="eastAsia" w:ascii="Times New Roman" w:hAnsi="Times New Roman"/>
                <w:b/>
                <w:szCs w:val="24"/>
                <w:lang w:val="en-US" w:eastAsia="zh-CN"/>
              </w:rPr>
              <w:t>二</w:t>
            </w:r>
            <w:r>
              <w:rPr>
                <w:rFonts w:hint="eastAsia" w:ascii="Times New Roman" w:hAnsi="Times New Roman"/>
                <w:b/>
                <w:szCs w:val="24"/>
              </w:rPr>
              <w:t>）的基本理论知识。</w:t>
            </w:r>
          </w:p>
        </w:tc>
      </w:tr>
      <w:tr w14:paraId="553E9C3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74AD5AE5">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25DF3727">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0315A215">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0F4805C7">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概述（</w:t>
            </w:r>
            <w:r>
              <w:rPr>
                <w:rFonts w:hint="eastAsia" w:ascii="宋体" w:hAnsi="宋体" w:cs="宋体"/>
                <w:b/>
                <w:bCs w:val="0"/>
                <w:kern w:val="0"/>
                <w:sz w:val="21"/>
                <w:szCs w:val="21"/>
                <w:lang w:val="en-US" w:eastAsia="zh-CN" w:bidi="ar"/>
              </w:rPr>
              <w:t>二</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，让学生知道系统化整体护理是以现代护理观为指导，以护理程序为核心，将临床护理和护理管理的各个环节系统化的工作模式。</w:t>
            </w:r>
          </w:p>
        </w:tc>
        <w:tc>
          <w:tcPr>
            <w:tcW w:w="1366" w:type="dxa"/>
            <w:tcBorders>
              <w:tl2br w:val="nil"/>
              <w:tr2bl w:val="nil"/>
            </w:tcBorders>
            <w:vAlign w:val="center"/>
          </w:tcPr>
          <w:p w14:paraId="40C102D0">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49AEEB1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116408A6">
            <w:pPr>
              <w:keepNext w:val="0"/>
              <w:keepLines w:val="0"/>
              <w:widowControl w:val="0"/>
              <w:suppressLineNumbers w:val="0"/>
              <w:spacing w:before="0" w:beforeAutospacing="0" w:after="0" w:afterAutospacing="0" w:line="264"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3822A3BD">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62D0BF4C">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简述护理程序的特点。</w:t>
            </w:r>
          </w:p>
        </w:tc>
        <w:tc>
          <w:tcPr>
            <w:tcW w:w="1366" w:type="dxa"/>
            <w:tcBorders>
              <w:tl2br w:val="nil"/>
              <w:tr2bl w:val="nil"/>
            </w:tcBorders>
            <w:vAlign w:val="center"/>
          </w:tcPr>
          <w:p w14:paraId="2684DE2A">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2F5F440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1C3ED5E4">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161E6B04">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b/>
                <w:bCs w:val="0"/>
                <w:color w:val="C00000"/>
                <w:kern w:val="2"/>
                <w:sz w:val="21"/>
                <w:szCs w:val="21"/>
                <w:lang w:val="en-US"/>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展示护理程序的基本步骤</w:t>
            </w:r>
            <w:r>
              <w:rPr>
                <w:rFonts w:hint="eastAsia" w:ascii="宋体" w:hAnsi="宋体" w:cs="宋体"/>
                <w:b w:val="0"/>
                <w:bCs/>
                <w:color w:val="C00000"/>
                <w:kern w:val="2"/>
                <w:sz w:val="21"/>
                <w:szCs w:val="21"/>
                <w:lang w:val="en-US" w:eastAsia="zh-CN" w:bidi="ar"/>
              </w:rPr>
              <w:t>（一）</w:t>
            </w:r>
          </w:p>
          <w:p w14:paraId="78820C1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一、护理评估</w:t>
            </w:r>
          </w:p>
          <w:p w14:paraId="62B596F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评估是护理程序的第一步，是指有组织地、有系统地收集资料。评估贯穿于护理工作的始终，贯穿于护理程序的全过程。</w:t>
            </w:r>
          </w:p>
          <w:p w14:paraId="2A60A3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护士与患者第一次见面时评估就已开始，直到患者出院或护理照顾结束才停止。患者入院时护士需对其进行全面、完整的综合评估；每一次与患者接触的过程都是在进行评估，随时收集患者动态的反应和病情变化的资料，以便及时调整、修改护理计划。评估包括资料收集、组织和记录几个方面。</w:t>
            </w:r>
          </w:p>
          <w:p w14:paraId="0E38DB17">
            <w:pPr>
              <w:keepNext w:val="0"/>
              <w:keepLines w:val="0"/>
              <w:pageBreakBefore w:val="0"/>
              <w:widowControl w:val="0"/>
              <w:numPr>
                <w:ilvl w:val="0"/>
                <w:numId w:val="1"/>
              </w:numPr>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资料的收集</w:t>
            </w:r>
          </w:p>
          <w:p w14:paraId="1CA37BA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资料收集是否完整和正确直接影响到护士做出护理诊断、制订护理计划的准确性，因而是评估中非常重要的一步。</w:t>
            </w:r>
          </w:p>
          <w:p w14:paraId="068BE6F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资料的内容　从整体护理思想出发，所收集的资料不仅涉及患者身体状况，还应包括患者的心理、社会、文化、经济等诸多方面。</w:t>
            </w:r>
          </w:p>
          <w:p w14:paraId="3869011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（1）一般资料。包括姓名、性别、年龄、民族、职业、婚姻状况、入院方式、医疗诊断、文化程度、住址、宗教信仰、联系人等。</w:t>
            </w:r>
          </w:p>
          <w:p w14:paraId="15DFC7E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（2）现在健康状况及自理程度。了解目前的主诉及饮食、营养、排泄、睡眠、自理能力、活动等方面的情况。</w:t>
            </w:r>
          </w:p>
          <w:p w14:paraId="286C1E1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（3）既往健康状况。包括既往患病史、创伤史、住院史、手术史、药物过敏史，烟酒嗜好。</w:t>
            </w:r>
          </w:p>
          <w:p w14:paraId="3D3E59C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（4）家庭史。有无与患者类似的疾病及家庭遗传病史。</w:t>
            </w:r>
          </w:p>
          <w:p w14:paraId="227A3C5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（5）护理体检的检查结果。主要包括身高、体重、生命体征、意识、瞳孔、皮肤、口腔黏膜等。</w:t>
            </w:r>
          </w:p>
          <w:p w14:paraId="4642B8F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（6）实验室及其他检查的结果。</w:t>
            </w:r>
          </w:p>
          <w:p w14:paraId="27CDB7B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7）心理、社会状况。患者的情绪，对疾病的认识与态度，对治疗、康复的信心，希望达到的健康状态；社会支持度包括职业及工作情况、目前享受的医疗保健待遇、经济状况、家庭成员对患者的态度和对疾病的了解等。</w:t>
            </w:r>
          </w:p>
          <w:p w14:paraId="71F2D8D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资料的类型</w:t>
            </w:r>
          </w:p>
          <w:p w14:paraId="24BE5A0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（1）主观资料。即患者的主诉，是患者对自身经历、所看、所听、所想、所担心内容的诉说。尤其是对身体异常的主观觉察，如疼痛、麻木、酸胀、灼热、瘙痒等。</w:t>
            </w:r>
          </w:p>
          <w:p w14:paraId="48D875C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（2）客观资料。指通过他人的观察，体格检查或借助医疗仪器和实验室检查获得的资料。如用血压计测得的血压值升高；听诊器听到的心脏杂音；实验室检验测得的血小板降低；超声波查出胆囊结石等。</w:t>
            </w:r>
          </w:p>
          <w:p w14:paraId="2593043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（二）资料的来源</w:t>
            </w:r>
          </w:p>
          <w:p w14:paraId="2889AD8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患者是资料的主要来源，此外，资料的其他来源也应重视。</w:t>
            </w:r>
          </w:p>
          <w:p w14:paraId="602DD03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直接来源　患者是直接资料的来源，通过对患者的主诉和对患者的观察及相关检查获得主观与客观的资料。</w:t>
            </w:r>
          </w:p>
          <w:p w14:paraId="7FFAB81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间接来源</w:t>
            </w:r>
          </w:p>
          <w:p w14:paraId="17079D0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（1）与患者接触密切的人员。如家庭成员、同事、朋友、邻居、保姆等。</w:t>
            </w:r>
          </w:p>
          <w:p w14:paraId="78423C4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（2）与患者健康有关的健康保健人员。如医生、护士、理疗师、营养师及其陪护人员。</w:t>
            </w:r>
          </w:p>
          <w:p w14:paraId="18790F2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（3）病案记录资料。患者目前和既往的医疗病历、健康检查记录等。</w:t>
            </w:r>
          </w:p>
          <w:p w14:paraId="4495316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（三）收集资料的方法</w:t>
            </w:r>
          </w:p>
          <w:p w14:paraId="67A3754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观察　观察是指护士在临床实践中运用视、听、嗅、触等多种感官获得有关患者、患者家属、患者所处环境的信息，并对信息的价值做出判断。</w:t>
            </w:r>
          </w:p>
          <w:p w14:paraId="14A47F3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观察能力的高低与护士的理论知识和临床经验密切相关，这两方面的缺乏往往使护士在观察时不够全面，出现遗漏，或者即使观察到了某项资料，却因知识有限或经验不足而将其认为是无意义的资料忽视了。观察作为一种技能，需要护士在实践中不断培养和锻炼。</w:t>
            </w:r>
          </w:p>
          <w:p w14:paraId="01B9584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护理体检　护士对入院患者收集的客观资料，包括测量身高、体重、生命体征、意识、瞳孔；评估皮肤、口腔黏膜、四肢活动度、营养状况等。</w:t>
            </w:r>
          </w:p>
          <w:p w14:paraId="32B7C23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交谈　交谈是人与人之间的语言交流过程，包括交换信息、意见、感受、感情等。护士与患者及其家属的交谈是一种有目的的活动，其目的在于：通过交谈使护士获得患者的有关资料和信息；交谈有助于建立良好的护患关系；通过交谈也可以使患者获得有关病情、检查、治疗、康复的信息，以及心理支持。</w:t>
            </w:r>
          </w:p>
          <w:p w14:paraId="4C05B59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（1）正式和非正式交谈。正式交谈是指事先通知患者的有计划交谈。例如入院后的采集病史。非正式交谈是指护士在日常工作中与患者进行的自然随意的交谈，通常谈话了解患者的真实想法和感受。</w:t>
            </w:r>
          </w:p>
          <w:p w14:paraId="0798B99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（2）交谈的环境。为保证交谈的效果，环境需要舒适、安全、安静；患者在放松无压力的情况下才有意愿表达。</w:t>
            </w:r>
          </w:p>
          <w:p w14:paraId="3886092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（3）交谈的注意事项：</w:t>
            </w:r>
          </w:p>
          <w:p w14:paraId="001EBAA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① 护士应保护患者的隐私。</w:t>
            </w:r>
          </w:p>
          <w:p w14:paraId="338A013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② 根据患者的身体状况决定交谈时间的长短。</w:t>
            </w:r>
          </w:p>
          <w:p w14:paraId="0D21DF3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③ 谈话开始前，应将谈话的目的告诉患者。</w:t>
            </w:r>
          </w:p>
          <w:p w14:paraId="3A6D651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④ 护士讲话要语句清晰、语速适当、意思明确，不要使用患者难以理解的专业医学词汇。</w:t>
            </w:r>
          </w:p>
          <w:p w14:paraId="3917D9C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⑤ 护士是谈话过程的控制者，要引导谈话方向，防止偏离主题。</w:t>
            </w:r>
          </w:p>
          <w:p w14:paraId="3360412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⑥ 护士交谈时要注意倾听，避免生硬打断患者的叙述而忽略患者提出的问题；讲究与患者保持目光交流，适当使用非语言性沟通技巧。</w:t>
            </w:r>
          </w:p>
          <w:p w14:paraId="057C301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查阅　包括查阅患者的医疗病历、实验室及其他检查结果等。</w:t>
            </w:r>
          </w:p>
          <w:p w14:paraId="424257D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（四）资料的组织和记录</w:t>
            </w:r>
          </w:p>
          <w:p w14:paraId="77A7ACA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（1）资料记录前，善于组织内容，主次分明，条理清晰。</w:t>
            </w:r>
          </w:p>
          <w:p w14:paraId="6BA4AC0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（2）记录资料的表格根据各医院、甚至同一医院中各病区的特点由护士自行设计。</w:t>
            </w:r>
          </w:p>
          <w:p w14:paraId="084C42D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（3）记录资料要及时。护士通过观察、体格检查、交谈等途径获得的资料要及时记录，以掌握患者的动态变化情况。</w:t>
            </w:r>
          </w:p>
          <w:p w14:paraId="337ED87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（4）记录的资料真实。不要带有自己的主观判断和结论，应客观地记录患者的主诉说和临床所见。</w:t>
            </w:r>
          </w:p>
          <w:p w14:paraId="59E9E1D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（5）客观资料记录。要运用统一记录格式和单位，清晰、准确、简洁，使用医学术语</w:t>
            </w:r>
          </w:p>
          <w:p w14:paraId="6DC8589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2BC5CC13">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通过教师讲解，了解护理程序的基本步骤（一）的基本理论知识。</w:t>
            </w:r>
          </w:p>
        </w:tc>
      </w:tr>
      <w:tr w14:paraId="590CEF5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4743E1DD">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28C94872">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233A5D6D">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0FF7A9F5">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这节课我们一起学习了护理程序的基本步骤（一），让学生知道评估是护理程序的第一步，是指有组织地、有系统地收集资料。</w:t>
            </w:r>
          </w:p>
        </w:tc>
        <w:tc>
          <w:tcPr>
            <w:tcW w:w="1366" w:type="dxa"/>
            <w:tcBorders>
              <w:tl2br w:val="nil"/>
              <w:tr2bl w:val="nil"/>
            </w:tcBorders>
            <w:vAlign w:val="center"/>
          </w:tcPr>
          <w:p w14:paraId="5C6FB2DB">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5318841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60865FF8">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7900057E">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7475C805">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简述收集资料的内容</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1904A986">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2D8F017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4040E23F">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70B99429">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展示护理程序的基本步骤（</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14:paraId="0AAF46D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二、护理诊断</w:t>
            </w:r>
          </w:p>
          <w:p w14:paraId="424E62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（一）护理诊断的概念</w:t>
            </w:r>
          </w:p>
          <w:p w14:paraId="4E2E83B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定义　根据收集到的资料确定护理诊断是护理程序的第二步。护理诊断是关于个人、家庭、社区对现存的或潜在的健康问题及生命过程的反应的一种临床判断，是护士为达到预期目标选择护理措施的基础，这些预期目标是由护士负责制定的。</w:t>
            </w:r>
          </w:p>
          <w:p w14:paraId="16003C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护理诊断与医疗诊断的区别　医疗诊断是医生使用的名词，是对一个疾病、一组症状体征的叙述，是用一个名称来说明疾病的原因、病理生理的改变，以便指导治疗措施。护理诊断是护士使用的名词，用于判断个体和人群对健康状态、健康问题中现存的、潜在的、健康的、综合的反应；是制定护理措施的依据。医疗诊断的侧重点在于对患者的健康状态与疾病的本质做出判断，特别是要对疾病做出病因诊断、病理解剖诊断和病理生理诊断；而护理诊断则侧重于对患者现存的或潜在的健康问题或疾病的反应做出判断。</w:t>
            </w:r>
          </w:p>
          <w:p w14:paraId="5D8A86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同一种疾病可有不同的护理诊断，不同的疾病也可以有相似的护理诊断。</w:t>
            </w:r>
          </w:p>
          <w:p w14:paraId="7249286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（二）护理诊断的组成部分</w:t>
            </w:r>
          </w:p>
          <w:p w14:paraId="7BB687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护理诊断基本是由名称、定义、诊断依据、相关因素四部分组成。</w:t>
            </w:r>
          </w:p>
          <w:p w14:paraId="767BF61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名称　名称是针对患者的健康状态或疾病的反应所进行的概括性描述。从对护理诊断名称的判断上可以将护理诊断分为三类。</w:t>
            </w:r>
          </w:p>
          <w:p w14:paraId="2C7292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（1）现存的。是对个人、家庭或社区目前现存的健康状况或生命过程的反应的描述。如“焦虑”“压疮：与皮肤长期受压有关”。</w:t>
            </w:r>
          </w:p>
          <w:p w14:paraId="70D95A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危险的。是对一些易感的个人、家庭或社区对健康状况或生命过程将可能出现的反应的描述。这类护理诊断目前虽然没有发生问题，但如果不采取护理措施则极有可能出现问题。因此“有……危险”的护理诊断要求护士具有预见性，当患者有导致易感性增加的危险因素存在时，要能够预测到可能会出现哪些问题。如长期卧床患者，存在“有皮肤完整性受损的危险”，留置保留尿管的患者，存在“有感染的危险”。</w:t>
            </w:r>
          </w:p>
          <w:p w14:paraId="7EE1059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健康的。是对个体、家庭或社区具有加强更高健康水平潜能的护理诊断。健康是生理、心理、社会各方面的完好状态。健康的护理诊断是护士在为健康人群提供护理时可以用到的护理诊断。如“潜在的精神健康增强”“潜在婴儿行为调节增强”“执行治疗方案有效”等。</w:t>
            </w:r>
          </w:p>
          <w:p w14:paraId="1043D3D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定义　定义是对护理诊断的一种清晰、精确的描述，并以此与其他护理诊断相区别。每一个护理诊断都有自己特征性的定义，即使有些护理诊断从名称上看很相似，但仍可从它们各自的定义上发现彼此的差别。如“便秘”的定义是指个体处于一种正常排便习惯发生改变的状态，其特征为排便次数减少或排出干、硬便。再如“感知性便秘”的定义是指个体自我诊断为便秘，并通过滥用缓泻剂、灌肠和栓剂以保证每天排便一次。</w:t>
            </w:r>
          </w:p>
          <w:p w14:paraId="6BC1E2B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诊断依据　诊断依据是做出该诊断的临床判断标准。诊断依据常常是患者所应具有的一组症状和体征以及有关病史，也可以是危险因素。护士在做出某个护理诊断时，不可凭空臆断，而一定要参照诊断依据。诊断依据有三种，第一种称“必要依据”，即做出某一护理诊断时必须具备的依据；第二种称“主要依据”，即做出某一诊断时通常需要存在的依据；第三种称“次要依据”，即对做出某一诊断有支持作用，但不一定每次做出该诊断时都存在的依据。</w:t>
            </w:r>
          </w:p>
          <w:p w14:paraId="79EB21A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相关因素　相关因素是指影响服务对象健康状况的直接因素、促发因素或危险因素，如疾病、心理、情境、年龄或与治疗有关的因素。</w:t>
            </w:r>
          </w:p>
          <w:p w14:paraId="5F8A4D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（三）护理诊断的陈述</w:t>
            </w:r>
          </w:p>
          <w:p w14:paraId="7A9414C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护理诊断陈述包括三部分，即 PES 公式</w:t>
            </w:r>
          </w:p>
          <w:p w14:paraId="0A87F1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P——健康问题，包括护理对象现存或潜在的健康问题。</w:t>
            </w:r>
          </w:p>
          <w:p w14:paraId="2706FBA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E——原因，即引起护理问题的直接因素、促发因 护理诊断的发展历史素或危险因素。</w:t>
            </w:r>
          </w:p>
          <w:p w14:paraId="345FDA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S——症状或体征，也包括实验室及相关仪器检查结果。</w:t>
            </w:r>
          </w:p>
          <w:p w14:paraId="3100213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例如：（P）气体交换受损；（S）紫绀、呼吸困难、PaO2 为 5.3 kPa；（E）与阻塞性肺气肿有关。</w:t>
            </w:r>
          </w:p>
          <w:p w14:paraId="43B3CD0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例如：（P）焦虑；（S）自诉感到担心、不能入睡、注意力不集中、食欲下降；（E）与身体健康受到威胁有关。以上三部分陈述多见于现存的护理诊断，危险的护理诊断一般采用两部分陈述方式（即 PE 方式），健康的护理诊断一般采用一部分陈述方式（即 P方式）。</w:t>
            </w:r>
          </w:p>
          <w:p w14:paraId="1096C2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相关因素的陈述　应使用“与……有关”的方式。</w:t>
            </w:r>
          </w:p>
          <w:p w14:paraId="699867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相关因素应是导致此护理诊断出现的最直接原因。如“清理呼吸道无效：与体弱、咳嗽无力有关。”同一护理诊断可因相关因素的不同而具有不同的护理措施。例如“清理呼吸道无效：与术后伤口疼痛有关。”“清理呼吸道无效：与痰液黏稠有关。”前者的护理措施是如何帮助患者在保护伤口、不加重疼痛的前提下将痰咳出，后者是如何使痰液稀释而易于咳出。由此可见，只有相关因素正确，才能选择有效的护理措施。</w:t>
            </w:r>
          </w:p>
          <w:p w14:paraId="2410F30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知识缺乏的陈述　如知识缺乏：缺乏骨折后功能锻炼的知识；缺乏胰岛素自我注射方面的知识等。</w:t>
            </w:r>
          </w:p>
          <w:p w14:paraId="0AD706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（四）医护合作性问题</w:t>
            </w:r>
          </w:p>
          <w:p w14:paraId="1928FE3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医护合作性问题　护理问题分为两大类：一类是经护士直接采取措施可以解决的，属于护理诊断；另一类是要与其他健康保健人员尤其是医生共同合作解决的，护士主要承担监测任务，观察患者的病情变化，应用医嘱和护理措施预防或减少并发症的发生，属于合作性问题。</w:t>
            </w:r>
          </w:p>
          <w:p w14:paraId="78AC5FD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合作性问题的陈述　合作性问题的陈述方式为“潜在并发症：××××”，如脑外伤后长期卧床患者“潜在并发症：静脉栓塞”。</w:t>
            </w:r>
          </w:p>
          <w:p w14:paraId="4059E8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一旦诊断潜在并发症，就提醒护士这位患者有发生这种并发症的危险或是患者可能正在出现这种并发症，护士应该注意病情监测，及时发现并发症的发生，及早与医生配合处理。</w:t>
            </w:r>
          </w:p>
          <w:p w14:paraId="16DE72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7798442D">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通过教师讲解，了解护理程序的基本步骤（</w:t>
            </w:r>
            <w:r>
              <w:rPr>
                <w:rFonts w:hint="eastAsia" w:ascii="Times New Roman" w:hAnsi="Times New Roman"/>
                <w:b/>
                <w:szCs w:val="24"/>
                <w:lang w:val="en-US" w:eastAsia="zh-CN"/>
              </w:rPr>
              <w:t>二</w:t>
            </w:r>
            <w:r>
              <w:rPr>
                <w:rFonts w:hint="eastAsia" w:ascii="Times New Roman" w:hAnsi="Times New Roman"/>
                <w:b/>
                <w:szCs w:val="24"/>
              </w:rPr>
              <w:t>）的基本理论知识。</w:t>
            </w:r>
          </w:p>
        </w:tc>
      </w:tr>
      <w:tr w14:paraId="2BACB0B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79950191">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18B186B3">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69746134">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040B0873">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这节课我们一起学习了护理程序的基本步骤（</w:t>
            </w:r>
            <w:r>
              <w:rPr>
                <w:rFonts w:hint="eastAsia" w:ascii="宋体" w:hAnsi="宋体" w:cs="宋体"/>
                <w:b/>
                <w:bCs w:val="0"/>
                <w:kern w:val="2"/>
                <w:sz w:val="21"/>
                <w:szCs w:val="21"/>
                <w:lang w:val="en-US" w:eastAsia="zh-CN" w:bidi="ar"/>
              </w:rPr>
              <w:t>二</w:t>
            </w:r>
            <w:r>
              <w:rPr>
                <w:rFonts w:hint="eastAsia" w:ascii="宋体" w:hAnsi="宋体" w:eastAsia="宋体" w:cs="宋体"/>
                <w:b/>
                <w:bCs w:val="0"/>
                <w:kern w:val="2"/>
                <w:sz w:val="21"/>
                <w:szCs w:val="21"/>
                <w:lang w:val="en-US" w:eastAsia="zh-CN" w:bidi="ar"/>
              </w:rPr>
              <w:t>），让学生知道相关因素应是导致此护理诊断出现的最直接原因。</w:t>
            </w:r>
          </w:p>
        </w:tc>
        <w:tc>
          <w:tcPr>
            <w:tcW w:w="1366" w:type="dxa"/>
            <w:tcBorders>
              <w:tl2br w:val="nil"/>
              <w:tr2bl w:val="nil"/>
            </w:tcBorders>
            <w:vAlign w:val="center"/>
          </w:tcPr>
          <w:p w14:paraId="2E4B5E64">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20811CC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6C37C124">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50F140F8">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4E124167">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简述护理诊断的定义</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55215DF2">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7402441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7636B2EF">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7EB17565">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展示护理程序的基本步骤（</w:t>
            </w:r>
            <w:r>
              <w:rPr>
                <w:rFonts w:hint="eastAsia" w:ascii="宋体" w:hAnsi="宋体" w:cs="宋体"/>
                <w:b w:val="0"/>
                <w:bCs/>
                <w:color w:val="C00000"/>
                <w:kern w:val="2"/>
                <w:sz w:val="21"/>
                <w:szCs w:val="21"/>
                <w:lang w:val="en-US" w:eastAsia="zh-CN" w:bidi="ar"/>
              </w:rPr>
              <w:t>三</w:t>
            </w:r>
            <w:r>
              <w:rPr>
                <w:rFonts w:hint="eastAsia" w:ascii="宋体" w:hAnsi="宋体" w:eastAsia="宋体" w:cs="宋体"/>
                <w:b w:val="0"/>
                <w:bCs/>
                <w:color w:val="C00000"/>
                <w:kern w:val="2"/>
                <w:sz w:val="21"/>
                <w:szCs w:val="21"/>
                <w:lang w:val="en-US" w:eastAsia="zh-CN" w:bidi="ar"/>
              </w:rPr>
              <w:t>）</w:t>
            </w:r>
          </w:p>
          <w:p w14:paraId="530A2FA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四、护理实施</w:t>
            </w:r>
          </w:p>
          <w:p w14:paraId="31D83A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实施是执行护理计划的过程，是将计划中各项措施变为实践。所有的护理诊断都要通过实施各种护理措施得以解决。实施这一步不仅要求护士具备丰富的专业知识，还要护士具备熟练的操作技能和良好的人际沟通能力，如此才能保证患者得到高质量的护理。</w:t>
            </w:r>
          </w:p>
          <w:p w14:paraId="1718B6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（一）实施前的准备</w:t>
            </w:r>
          </w:p>
          <w:p w14:paraId="242FD58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护士将准备给患者实施的措施进行组织　虽然在护理计划中措施对应着各自的护理诊断，但是在实施时每一次接触患者都可能要执行多个措施，这些措施可能对应着不同的护理诊断，因此在实施前应将它们集中组织起来，做好安排及分工，才能保证所有护理措施有序执行，减少忙乱或遗漏。</w:t>
            </w:r>
          </w:p>
          <w:p w14:paraId="410F7B3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明确护理措施的实施者　确定某些护理措施是由护工做还是由护士做。如果是护士，由哪一层次或级别的护士做，是一个护士做还是多个护士做。</w:t>
            </w:r>
          </w:p>
          <w:p w14:paraId="711335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实施者自身的准备　实施时将使用什么技术或技巧，如需用到基础护理操作或仪器操作，则应将操作步骤回顾一下；如需用到沟通技巧，则应考虑在沟通中可能会出现哪些问题，如何应对。</w:t>
            </w:r>
          </w:p>
          <w:p w14:paraId="0B22536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确定实施护理措施的时机　如手术前患者的健康指导，可在患者进行皮肤准备时进行。有关患者饮食指导的教育可安排在家属探视时进行。</w:t>
            </w:r>
          </w:p>
          <w:p w14:paraId="6B88C92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（二）实施与记录</w:t>
            </w:r>
          </w:p>
          <w:p w14:paraId="5CD34E4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实施过程</w:t>
            </w:r>
          </w:p>
          <w:p w14:paraId="3A57C33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（1）实施过程是护士运用操作技术、沟通技巧、观察能力、合作能力和应变能力去执行护理措施的过程，使护理问题能得以解决。</w:t>
            </w:r>
          </w:p>
          <w:p w14:paraId="2F3428B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（2）实施过程中培养了护士的能力，增长了其工作经验。</w:t>
            </w:r>
          </w:p>
          <w:p w14:paraId="2609F27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（3）有利于护士和患者之间建立良好的护患关系。</w:t>
            </w:r>
          </w:p>
          <w:p w14:paraId="353D304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（4）评估和评价。执行护理措施的同时，护士及时对患者的病情及患者对疾病的反应进行评估，并对护理照顾的效果进行评价。因此，实施阶段也是评估和评价的过程。</w:t>
            </w:r>
          </w:p>
          <w:p w14:paraId="0915A71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实施后记录　护士对其所执行的护理措施及执行过程中观察到的问题进行记录是一项很重要的工作。记录要求及时、准确、真实、重点突出，可采用文字描述或填表、在相应项目上打“√”选择或填写的方式。记录的意义在于：</w:t>
            </w:r>
          </w:p>
          <w:p w14:paraId="6C35C68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（1）记录患者接受护理照顾期间的全部经过；</w:t>
            </w:r>
          </w:p>
          <w:p w14:paraId="439BCC6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（2）有利于其他医护人员了解该患者的情况；</w:t>
            </w:r>
          </w:p>
          <w:p w14:paraId="706E922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（3）可作为护理质量评价的内容之一；</w:t>
            </w:r>
          </w:p>
          <w:p w14:paraId="1D1510C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（4）为以后的护理工作提供资料和经验；</w:t>
            </w:r>
          </w:p>
          <w:p w14:paraId="67FABD6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（5）是护士辛勤工作的最好证明。</w:t>
            </w:r>
          </w:p>
          <w:p w14:paraId="24E158D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护士职能与角色的扩大</w:t>
            </w:r>
          </w:p>
          <w:p w14:paraId="45EF440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随着社会发展的进程，我国老龄人口增多，社区各类老人机构及家庭所需的护理照顾增加，护理工作在人们生活中变得比以往任何时候都重要。以往主要是医院需要护士承担患者的护理工作，现在的护士职能将由医院向社会扩展，由照顾患者扩展到与其他人员合作，共同维护人类健康。因此，现代护士的专业角色将是多方位的，护士的角色也不再是单纯地照顾患者。可包括：决策者、管理者、协调者、沟通者、教师和顾问、代言人和保护者、促进康复者、研究者和作者等。因此，现代护理工作者应具备适应多方位专业角色的基本素质，集多方位角色于一体，才能担当起维护人类健康的重任。</w:t>
            </w:r>
          </w:p>
          <w:p w14:paraId="7DF7A00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五、护理评价</w:t>
            </w:r>
          </w:p>
          <w:p w14:paraId="143C0AD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评价是将患者现有的健康状况与护理计划中预定的目标相比较并做出判断的过程。从这一过程中，可以了解患者是否达到预期的护理目标，患者的需求是否得到满足。</w:t>
            </w:r>
          </w:p>
          <w:p w14:paraId="5DE69A4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评价是护理程序的第五步，但实际上它却贯穿于护理程序的整个过程。包括：评估阶段，需评价收集资料的方法是否正确，资料来源的准确性，完整性和必要性；诊断阶段，需评价是否以收集到的资料为依据，诊断是否在护理范畴内，陈述是否清楚，诊断是否准确、有无遗漏；计划阶段，需评价护理诊断的顺序是否合适，目标是否能达到和可衡量，措施是否科学、得当；实施阶段，需评价措施是否得到准确执行、执行效果如何等。评价是对以上步骤全面的检查，并对上述情况进行分析，按目标的实现程度分为目标完全实现、目标部分实现、目标未实现。评价虽然位于程序的最后一步，但并不意味着护理程序的结束，相反，通过评价发现新问题，再次做出新诊断及相应的计划，或对以往的方案进行修改，从而使护理程序循环往复地进行下去。患者情况的变化，包括健康状况、行为和观念认识等，是护理评价的重点，它们直接反映护理的效果。在评价中也需要考虑多种因素的影响，要看患者的变化是否因护理行为而引起，要将患者目前的状况与开始的护理诊断相比较，并与护理目标相比较，以做出综合评价。</w:t>
            </w:r>
          </w:p>
          <w:p w14:paraId="5D5A55E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564F31B7">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通过教师讲解，了解护理程序的基本步骤（</w:t>
            </w:r>
            <w:r>
              <w:rPr>
                <w:rFonts w:hint="eastAsia" w:ascii="Times New Roman" w:hAnsi="Times New Roman"/>
                <w:b/>
                <w:szCs w:val="24"/>
                <w:lang w:val="en-US" w:eastAsia="zh-CN"/>
              </w:rPr>
              <w:t>三</w:t>
            </w:r>
            <w:r>
              <w:rPr>
                <w:rFonts w:hint="eastAsia" w:ascii="Times New Roman" w:hAnsi="Times New Roman"/>
                <w:b/>
                <w:szCs w:val="24"/>
              </w:rPr>
              <w:t>）的基本理论知识。</w:t>
            </w:r>
          </w:p>
        </w:tc>
      </w:tr>
      <w:tr w14:paraId="2D920A5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5CE8387C">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71ED3CAE">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6F4D9419">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67E9272B">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这节课我们一起学习了护理程序的基本步骤（</w:t>
            </w:r>
            <w:r>
              <w:rPr>
                <w:rFonts w:hint="eastAsia" w:ascii="宋体" w:hAnsi="宋体" w:cs="宋体"/>
                <w:b/>
                <w:bCs w:val="0"/>
                <w:kern w:val="2"/>
                <w:sz w:val="21"/>
                <w:szCs w:val="21"/>
                <w:lang w:val="en-US" w:eastAsia="zh-CN" w:bidi="ar"/>
              </w:rPr>
              <w:t>三</w:t>
            </w:r>
            <w:r>
              <w:rPr>
                <w:rFonts w:hint="eastAsia" w:ascii="宋体" w:hAnsi="宋体" w:eastAsia="宋体" w:cs="宋体"/>
                <w:b/>
                <w:bCs w:val="0"/>
                <w:kern w:val="2"/>
                <w:sz w:val="21"/>
                <w:szCs w:val="21"/>
                <w:lang w:val="en-US" w:eastAsia="zh-CN" w:bidi="ar"/>
              </w:rPr>
              <w:t>），让学生知道现代护士的专业角色将是多方位的，护士的角色也不再是单纯地照顾患者。</w:t>
            </w:r>
          </w:p>
        </w:tc>
        <w:tc>
          <w:tcPr>
            <w:tcW w:w="1366" w:type="dxa"/>
            <w:tcBorders>
              <w:tl2br w:val="nil"/>
              <w:tr2bl w:val="nil"/>
            </w:tcBorders>
            <w:vAlign w:val="center"/>
          </w:tcPr>
          <w:p w14:paraId="67E6DCC5">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47C8235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2DF15D05">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1BD19C98">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2ECD6FD2">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简述护理实施</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108B82CB">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748D3DC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34563B17">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665724BD">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b/>
                <w:bCs w:val="0"/>
                <w:color w:val="C00000"/>
                <w:kern w:val="2"/>
                <w:sz w:val="21"/>
                <w:szCs w:val="21"/>
                <w:lang w:val="en-US"/>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展示直击护考</w:t>
            </w:r>
          </w:p>
          <w:p w14:paraId="2686BF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【A1 型题】</w:t>
            </w:r>
          </w:p>
          <w:p w14:paraId="433820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组成护理程序最基本的框架结构理论是（　　）。</w:t>
            </w:r>
          </w:p>
          <w:p w14:paraId="365A938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A. 方法论 B. 一般系统论</w:t>
            </w:r>
          </w:p>
          <w:p w14:paraId="3D147AF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C. 信息交流论 D. 解决问题论</w:t>
            </w:r>
          </w:p>
          <w:p w14:paraId="2877F20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E. 人的基本需要论</w:t>
            </w:r>
          </w:p>
          <w:p w14:paraId="5A3835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护士对患者进行评估时，不属于资料来源的选项是（　　）。</w:t>
            </w:r>
          </w:p>
          <w:p w14:paraId="2BCFCB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A. 患者 B. 病历</w:t>
            </w:r>
          </w:p>
          <w:p w14:paraId="70F5266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C. 患者家属 D. 护士的主观判断</w:t>
            </w:r>
          </w:p>
          <w:p w14:paraId="3D0CD63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E. 其他医务人员</w:t>
            </w:r>
          </w:p>
          <w:p w14:paraId="7BFF1E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“有……危险”的护理诊断的陈述方式是（　　）。</w:t>
            </w:r>
          </w:p>
          <w:p w14:paraId="2E59323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A. PES 公式 B. PE 公式</w:t>
            </w:r>
          </w:p>
          <w:p w14:paraId="242FAD0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C. ES 公式 D. PS 公式</w:t>
            </w:r>
          </w:p>
          <w:p w14:paraId="4BE4869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E. P 公式</w:t>
            </w:r>
          </w:p>
          <w:p w14:paraId="54B1C9B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【A2 型题】</w:t>
            </w:r>
          </w:p>
          <w:p w14:paraId="0413BC3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李某，男性，昏迷。评估确认患者存在以下护理问题，你认为应优先解决的问题是（　　）。</w:t>
            </w:r>
          </w:p>
          <w:p w14:paraId="60CE43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A. 便秘 B. 语言沟通障碍</w:t>
            </w:r>
          </w:p>
          <w:p w14:paraId="71E713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C. 清理呼吸道无效 D. 皮肤完整性受损</w:t>
            </w:r>
          </w:p>
          <w:p w14:paraId="18D2A5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E. 营养失调：低于机体需要量</w:t>
            </w:r>
          </w:p>
          <w:p w14:paraId="1A09B5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 王某，女性，14 岁。因急性心肌炎入院，护士收集资料进行评估，中属于主观资料的是（　　）。</w:t>
            </w:r>
          </w:p>
          <w:p w14:paraId="47CFE8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A. 心动过速、发热 B. 感觉心慌、发热、疲乏</w:t>
            </w:r>
          </w:p>
          <w:p w14:paraId="7B43E15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C. 心悸、疲乏、周身不适 ` D. 气促、心动过速、发热</w:t>
            </w:r>
          </w:p>
          <w:p w14:paraId="56D0DF4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E. 气促、感觉心慌、心率快</w:t>
            </w:r>
          </w:p>
          <w:p w14:paraId="1C4B3AA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 患者，女性，75 岁。护士在巡视病房时发现其呼出的气体有烂苹果味。护士收集资料的方法属于（　　）。</w:t>
            </w:r>
          </w:p>
          <w:p w14:paraId="3DA2B6A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A. 视觉观察法 B. 触觉观察法</w:t>
            </w:r>
          </w:p>
          <w:p w14:paraId="7637D98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C. 听觉观察法 D. 嗅觉观察法</w:t>
            </w:r>
          </w:p>
          <w:p w14:paraId="4F1A7C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E. 味觉观察法</w:t>
            </w:r>
          </w:p>
          <w:p w14:paraId="27C4423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7. 患者，女性，31 岁。测体温 39 ℃，医嘱即刻注射复方氨基比林 2 mL。护士执行此项医嘱属于（　　）。</w:t>
            </w:r>
          </w:p>
          <w:p w14:paraId="257263D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A. 非护理措施 B. 独立性的护理措施</w:t>
            </w:r>
          </w:p>
          <w:p w14:paraId="61A7F0D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C. 协作性的护理措施 D. 依赖性的护理措施</w:t>
            </w:r>
          </w:p>
          <w:p w14:paraId="3DBA99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E. 预防性的护理措施</w:t>
            </w:r>
          </w:p>
          <w:p w14:paraId="02E709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8. 李某，男性，70 岁。现术后 8 小时，仍未排尿，主诉下腹胀痛。查体见下腹膀胱区隆起，耻骨联合上叩诊呈实音。目前其主要护理问题是（　　）。</w:t>
            </w:r>
          </w:p>
          <w:p w14:paraId="7EC9670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A. 下腹疼痛 B. 潜在呼吸道感染</w:t>
            </w:r>
          </w:p>
          <w:p w14:paraId="49649B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C. 体液过多 D. 有皮肤完整性受损的危险</w:t>
            </w:r>
          </w:p>
          <w:p w14:paraId="548EA01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E. 尿潴留</w:t>
            </w:r>
          </w:p>
          <w:p w14:paraId="1604AA0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【A3 型题】</w:t>
            </w:r>
          </w:p>
          <w:p w14:paraId="352BBFD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（9 ～ 10 题共用题干）</w:t>
            </w:r>
          </w:p>
          <w:p w14:paraId="1D51537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患者，男性，56岁。因转移性右下腹疼痛20小时伴发热、恶心、呕吐，以“急性阑尾炎”住院。入院时患者呈急性面容，扶入病房，查体：体温 38.9 ℃，右下腹压痛、反跳痛。</w:t>
            </w:r>
          </w:p>
          <w:p w14:paraId="4D540E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9. 属于主观资料的是（　　）。</w:t>
            </w:r>
          </w:p>
          <w:p w14:paraId="453CFCF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A. 右下腹疼痛 B. 恶心、呕吐</w:t>
            </w:r>
          </w:p>
          <w:p w14:paraId="1300943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C. 体温 38.9 ℃ D. 右下腹压痛、反跳痛</w:t>
            </w:r>
          </w:p>
          <w:p w14:paraId="4D6F743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E. 急性面容</w:t>
            </w:r>
          </w:p>
          <w:p w14:paraId="2D24C8C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10. 对于该患者，陈述正确的护理问题是（　　）。</w:t>
            </w:r>
          </w:p>
          <w:p w14:paraId="4D0B4DF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A. 急性阑尾炎</w:t>
            </w:r>
          </w:p>
          <w:p w14:paraId="5608C8A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B. 疼痛，炎症引起</w:t>
            </w:r>
          </w:p>
          <w:p w14:paraId="0C43AD8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C. 恶心、呕吐，疼痛导致</w:t>
            </w:r>
          </w:p>
          <w:p w14:paraId="2E0B198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D. 组织灌注量不足，因为呕吐</w:t>
            </w:r>
          </w:p>
          <w:p w14:paraId="3000E9F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E. 体温过高：体温 38.9 ℃：与炎症有关</w:t>
            </w:r>
          </w:p>
          <w:p w14:paraId="12FCE6C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（11 ～ 13 题共用题干）</w:t>
            </w:r>
          </w:p>
          <w:p w14:paraId="38DE7C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患者，男性，76 岁。慢性支气管炎 24 年，主诉发热、咳嗽、咳黄色黏痰5 天，自觉咳嗽无力，痰液黏稠不易咳出。吸烟 40 年，20 支 / 天，难以戒除。体检：精神委靡，皮肤干燥，体温 38.8℃，肺部听诊可闻及干、湿性啰音。</w:t>
            </w:r>
          </w:p>
          <w:p w14:paraId="451F425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11. 属于主观资料的是（　　）。</w:t>
            </w:r>
          </w:p>
          <w:p w14:paraId="10173F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A. 皮肤干燥 B. 痰液黏稠</w:t>
            </w:r>
          </w:p>
          <w:p w14:paraId="1EDB35B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C. 体温 38.8 ℃ D. 咳嗽无力</w:t>
            </w:r>
          </w:p>
          <w:p w14:paraId="482BFD3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E. 肺部干、湿性啰音</w:t>
            </w:r>
          </w:p>
          <w:p w14:paraId="71CAC3B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12. 陈述正确的护理诊断是（　　）。</w:t>
            </w:r>
          </w:p>
          <w:p w14:paraId="4594E3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A. 清理呼吸道无效：与呼吸道炎症痰液黏稠、咳嗽无力有关</w:t>
            </w:r>
          </w:p>
          <w:p w14:paraId="4406C55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B. 体温过高，体温 38.8℃，呼吸道炎症导致</w:t>
            </w:r>
          </w:p>
          <w:p w14:paraId="758E60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C. 活动无耐力，因呼吸道炎症，氧供量减少引起</w:t>
            </w:r>
          </w:p>
          <w:p w14:paraId="142575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D. 知识缺乏</w:t>
            </w:r>
          </w:p>
          <w:p w14:paraId="074F578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E. 组织灌注量不足，与发热、皮肤干燥有关</w:t>
            </w:r>
          </w:p>
          <w:p w14:paraId="67D588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13. 针对你制定的护理诊断，预期目标是（　　）。</w:t>
            </w:r>
          </w:p>
          <w:p w14:paraId="7422F2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A. 患者 3 天内体温下降</w:t>
            </w:r>
          </w:p>
          <w:p w14:paraId="70EFFE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B. 患者 3 天内炎症控制，自行咳出痰液</w:t>
            </w:r>
          </w:p>
          <w:p w14:paraId="7BB809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C. 指导患者叙述有关呼吸道疾病的预防保健知识</w:t>
            </w:r>
          </w:p>
          <w:p w14:paraId="4635B1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D. 患病期间得到良好休息，体力得以恢复</w:t>
            </w:r>
          </w:p>
          <w:p w14:paraId="6B55074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E. 遵医嘱静脉输液，增加患者组织灌注</w:t>
            </w:r>
          </w:p>
          <w:p w14:paraId="615B4F3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p w14:paraId="062FE3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p>
        </w:tc>
        <w:tc>
          <w:tcPr>
            <w:tcW w:w="1366" w:type="dxa"/>
            <w:tcBorders>
              <w:tl2br w:val="nil"/>
              <w:tr2bl w:val="nil"/>
            </w:tcBorders>
            <w:vAlign w:val="center"/>
          </w:tcPr>
          <w:p w14:paraId="62F58E4B">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通过教师讲解，了解直击护考的基本理论知识。</w:t>
            </w:r>
          </w:p>
        </w:tc>
      </w:tr>
      <w:tr w14:paraId="7907D8B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36342705">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2E001A90">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2C6C3F00">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57710EBF">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这节课我们一起学习了直击护考，让学生</w:t>
            </w:r>
            <w:r>
              <w:rPr>
                <w:rFonts w:hint="eastAsia" w:ascii="宋体" w:hAnsi="宋体" w:cs="宋体"/>
                <w:b/>
                <w:bCs w:val="0"/>
                <w:kern w:val="2"/>
                <w:sz w:val="21"/>
                <w:szCs w:val="21"/>
                <w:lang w:val="en-US" w:eastAsia="zh-CN" w:bidi="ar"/>
              </w:rPr>
              <w:t>能够增强对知识的巩固能力</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72A53E96">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343F9AF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01721DB7">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08C07AF0">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408F48E1">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default" w:ascii="Times New Roman" w:hAnsi="Times New Roman" w:eastAsia="宋体" w:cs="Times New Roman"/>
                <w:b/>
                <w:bCs w:val="0"/>
                <w:kern w:val="2"/>
                <w:sz w:val="21"/>
                <w:szCs w:val="21"/>
                <w:lang w:val="en-US" w:eastAsia="zh-CN" w:bidi="ar-SA"/>
              </w:rPr>
            </w:pPr>
            <w:r>
              <w:rPr>
                <w:rFonts w:hint="eastAsia" w:ascii="Times New Roman" w:hAnsi="Times New Roman" w:cs="Times New Roman"/>
                <w:b/>
                <w:bCs w:val="0"/>
                <w:kern w:val="2"/>
                <w:sz w:val="21"/>
                <w:szCs w:val="21"/>
                <w:lang w:val="en-US" w:eastAsia="zh-CN" w:bidi="ar-SA"/>
              </w:rPr>
              <w:t>如何进行护理评价？</w:t>
            </w:r>
          </w:p>
        </w:tc>
        <w:tc>
          <w:tcPr>
            <w:tcW w:w="1366" w:type="dxa"/>
            <w:tcBorders>
              <w:tl2br w:val="nil"/>
              <w:tr2bl w:val="nil"/>
            </w:tcBorders>
            <w:vAlign w:val="center"/>
          </w:tcPr>
          <w:p w14:paraId="473D52F6">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77344FE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5A9C0B09">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rPr>
              <w:t>教学反思</w:t>
            </w:r>
          </w:p>
        </w:tc>
        <w:tc>
          <w:tcPr>
            <w:tcW w:w="7173" w:type="dxa"/>
            <w:gridSpan w:val="2"/>
            <w:tcBorders>
              <w:tl2br w:val="nil"/>
              <w:tr2bl w:val="nil"/>
            </w:tcBorders>
            <w:vAlign w:val="center"/>
          </w:tcPr>
          <w:p w14:paraId="47B695DB">
            <w:pPr>
              <w:keepNext w:val="0"/>
              <w:keepLines w:val="0"/>
              <w:suppressLineNumbers w:val="0"/>
              <w:spacing w:before="0" w:beforeAutospacing="0" w:after="0" w:afterAutospacing="0" w:line="360" w:lineRule="auto"/>
              <w:ind w:left="0" w:right="0"/>
              <w:rPr>
                <w:rFonts w:hint="default" w:ascii="Times New Roman" w:hAnsi="Times New Roman"/>
              </w:rPr>
            </w:pPr>
            <w:r>
              <w:rPr>
                <w:rFonts w:hint="default" w:ascii="Times New Roman" w:hAnsi="Times New Roman"/>
              </w:rPr>
              <w:t>课前了解学生知道了什么，知道又到了什么程度，还不知道什么。教学设计阶段中对学生学习起点状态了解和课堂教学中的灵活调整做到了一一对应。</w:t>
            </w:r>
          </w:p>
        </w:tc>
      </w:tr>
      <w:bookmarkEnd w:id="0"/>
    </w:tbl>
    <w:p w14:paraId="1EF2E668"/>
    <w:sectPr>
      <w:pgSz w:w="11906" w:h="16838"/>
      <w:pgMar w:top="567" w:right="170" w:bottom="850" w:left="170" w:header="567" w:footer="85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ACC69C6C-F99E-4E26-A71E-EA43E3C9ECBF}"/>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2" w:fontKey="{961D3F4A-CC41-41F4-8614-60EB2A9ED984}"/>
  </w:font>
  <w:font w:name="微软雅黑">
    <w:panose1 w:val="020B0503020204020204"/>
    <w:charset w:val="86"/>
    <w:family w:val="auto"/>
    <w:pitch w:val="default"/>
    <w:sig w:usb0="80000287" w:usb1="2ACF3C50" w:usb2="00000016" w:usb3="00000000" w:csb0="0004001F" w:csb1="00000000"/>
    <w:embedRegular r:id="rId3" w:fontKey="{2DA381E1-29AB-47C8-BEBE-0C490D80DC8A}"/>
  </w:font>
  <w:font w:name="方正宋黑_GBK">
    <w:panose1 w:val="03000509000000000000"/>
    <w:charset w:val="86"/>
    <w:family w:val="script"/>
    <w:pitch w:val="default"/>
    <w:sig w:usb0="00000001" w:usb1="080E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panose1 w:val="020B0603050302020204"/>
    <w:charset w:val="00"/>
    <w:family w:val="swiss"/>
    <w:pitch w:val="default"/>
    <w:sig w:usb0="00000000" w:usb1="00000000" w:usb2="00000000" w:usb3="00000000" w:csb0="00000000" w:csb1="00000000"/>
  </w:font>
  <w:font w:name="汉仪菱心体简">
    <w:panose1 w:val="02010400000101010101"/>
    <w:charset w:val="86"/>
    <w:family w:val="auto"/>
    <w:pitch w:val="default"/>
    <w:sig w:usb0="00000001" w:usb1="080E0800" w:usb2="00000002" w:usb3="00000000" w:csb0="00040000" w:csb1="00000000"/>
    <w:embedRegular r:id="rId4" w:fontKey="{6DF395AB-EE03-4655-957D-E29B57F58984}"/>
  </w:font>
  <w:font w:name="思源宋体 CN Heavy">
    <w:panose1 w:val="02020900000000000000"/>
    <w:charset w:val="86"/>
    <w:family w:val="auto"/>
    <w:pitch w:val="default"/>
    <w:sig w:usb0="20000083" w:usb1="2ADF3C10" w:usb2="00000016" w:usb3="00000000" w:csb0="60060107" w:csb1="00000000"/>
  </w:font>
  <w:font w:name="微软简老宋">
    <w:panose1 w:val="00000000000000000000"/>
    <w:charset w:val="00"/>
    <w:family w:val="auto"/>
    <w:pitch w:val="default"/>
    <w:sig w:usb0="00000000" w:usb1="00000000" w:usb2="00000000" w:usb3="00000000" w:csb0="00000000" w:csb1="00000000"/>
    <w:embedRegular r:id="rId5" w:fontKey="{40308ACC-5854-449C-B20D-6D9BEDF47B98}"/>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C28E3C">
    <w:pPr>
      <w:pStyle w:val="9"/>
      <w:pBdr>
        <w:bottom w:val="none" w:color="auto" w:sz="0" w:space="1"/>
      </w:pBdr>
      <w:rPr>
        <w:rFonts w:hint="eastAsia" w:eastAsia="宋体"/>
        <w:lang w:eastAsia="zh-CN"/>
      </w:rPr>
    </w:pPr>
    <w:r>
      <mc:AlternateContent>
        <mc:Choice Requires="wps">
          <w:drawing>
            <wp:anchor distT="0" distB="0" distL="114300" distR="114300" simplePos="0" relativeHeight="251663360" behindDoc="0" locked="0" layoutInCell="1" allowOverlap="1">
              <wp:simplePos x="0" y="0"/>
              <wp:positionH relativeFrom="column">
                <wp:posOffset>162560</wp:posOffset>
              </wp:positionH>
              <wp:positionV relativeFrom="paragraph">
                <wp:posOffset>-2540</wp:posOffset>
              </wp:positionV>
              <wp:extent cx="7019925" cy="9953625"/>
              <wp:effectExtent l="6350" t="6350" r="22225" b="22225"/>
              <wp:wrapNone/>
              <wp:docPr id="98" name="矩形 98"/>
              <wp:cNvGraphicFramePr/>
              <a:graphic xmlns:a="http://schemas.openxmlformats.org/drawingml/2006/main">
                <a:graphicData uri="http://schemas.microsoft.com/office/word/2010/wordprocessingShape">
                  <wps:wsp>
                    <wps:cNvSpPr/>
                    <wps:spPr>
                      <a:xfrm>
                        <a:off x="0" y="0"/>
                        <a:ext cx="7019925" cy="9953625"/>
                      </a:xfrm>
                      <a:prstGeom prst="rect">
                        <a:avLst/>
                      </a:prstGeom>
                      <a:solidFill>
                        <a:srgbClr val="FFFFFF">
                          <a:alpha val="73000"/>
                        </a:srgbClr>
                      </a:solidFill>
                      <a:ln>
                        <a:solidFill>
                          <a:srgbClr val="7EC1E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8pt;margin-top:-0.2pt;height:783.75pt;width:552.75pt;z-index:251663360;v-text-anchor:middle;mso-width-relative:page;mso-height-relative:page;" fillcolor="#FFFFFF" filled="t" stroked="t" coordsize="21600,21600" o:gfxdata="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D1gxEK2QAAAAoBAAAPAAAA&#10;AAAAAAEAIAAAACIAAABkcnMvZG93bnJldi54bWxQSwECFAAUAAAACACHTuJAUfTsz4YCAAAYBQAA&#10;DgAAAAAAAAABACAAAAAoAQAAZHJzL2Uyb0RvYy54bWxQSwUGAAAAAAYABgBZAQAAIAYAAAAA&#10;">
              <v:fill on="t" opacity="47841f" focussize="0,0"/>
              <v:stroke weight="1pt" color="#7EC1E1 [3204]" miterlimit="8" joinstyle="miter"/>
              <v:imagedata o:title=""/>
              <o:lock v:ext="edit" aspectratio="f"/>
            </v:rect>
          </w:pict>
        </mc:Fallback>
      </mc:AlternateContent>
    </w:r>
    <w:r>
      <w:rPr>
        <w:sz w:val="18"/>
      </w:rPr>
      <mc:AlternateContent>
        <mc:Choice Requires="wps">
          <w:drawing>
            <wp:anchor distT="0" distB="0" distL="114300" distR="114300" simplePos="0" relativeHeight="251660288" behindDoc="0" locked="0" layoutInCell="1" allowOverlap="1">
              <wp:simplePos x="0" y="0"/>
              <wp:positionH relativeFrom="column">
                <wp:posOffset>249555</wp:posOffset>
              </wp:positionH>
              <wp:positionV relativeFrom="paragraph">
                <wp:posOffset>5715</wp:posOffset>
              </wp:positionV>
              <wp:extent cx="6840220" cy="9972040"/>
              <wp:effectExtent l="6350" t="6350" r="11430" b="2286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chemeClr val="bg1">
                          <a:alpha val="55000"/>
                        </a:schemeClr>
                      </a:solidFill>
                      <a:ln>
                        <a:solidFill>
                          <a:schemeClr val="bg1">
                            <a:lumMod val="95000"/>
                          </a:schemeClr>
                        </a:solidFill>
                        <a:prstDash val="solid"/>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60288;v-text-anchor:middle;mso-width-relative:page;mso-height-relative:page;" fillcolor="#FFFFFF [3212]" filled="t" stroked="t" coordsize="21600,21600" o:gfxdata="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LbM&#10;U1bYAAAACQEAAA8AAAAAAAAAAQAgAAAAIgAAAGRycy9kb3ducmV2LnhtbFBLAQIUABQAAAAIAIdO&#10;4kC3d1dhlQIAAEIFAAAOAAAAAAAAAAEAIAAAACcBAABkcnMvZTJvRG9jLnhtbFBLBQYAAAAABgAG&#10;AFkBAAAuBgAAAAA=&#10;">
              <v:fill on="t" opacity="36044f" focussize="0,0"/>
              <v:stroke weight="1pt" color="#F2F2F2 [3052]" miterlimit="8" joinstyle="miter"/>
              <v:imagedata o:title=""/>
              <o:lock v:ext="edit" aspectratio="f"/>
            </v:rect>
          </w:pict>
        </mc:Fallback>
      </mc:AlternateContent>
    </w:r>
    <w:r>
      <w:drawing>
        <wp:anchor distT="0" distB="0" distL="114300" distR="114300" simplePos="0" relativeHeight="251662336" behindDoc="0" locked="0" layoutInCell="1" allowOverlap="1">
          <wp:simplePos x="0" y="0"/>
          <wp:positionH relativeFrom="column">
            <wp:posOffset>-189230</wp:posOffset>
          </wp:positionH>
          <wp:positionV relativeFrom="paragraph">
            <wp:posOffset>-476250</wp:posOffset>
          </wp:positionV>
          <wp:extent cx="7640955" cy="10807700"/>
          <wp:effectExtent l="0" t="0" r="17145" b="12700"/>
          <wp:wrapNone/>
          <wp:docPr id="95" name="图片 95" descr="临床医生背景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临床医生背景图片"/>
                  <pic:cNvPicPr>
                    <a:picLocks noChangeAspect="1"/>
                  </pic:cNvPicPr>
                </pic:nvPicPr>
                <pic:blipFill>
                  <a:blip r:embed="rId1"/>
                  <a:stretch>
                    <a:fillRect/>
                  </a:stretch>
                </pic:blipFill>
                <pic:spPr>
                  <a:xfrm>
                    <a:off x="0" y="0"/>
                    <a:ext cx="7640955" cy="10807700"/>
                  </a:xfrm>
                  <a:prstGeom prst="rect">
                    <a:avLst/>
                  </a:prstGeom>
                </pic:spPr>
              </pic:pic>
            </a:graphicData>
          </a:graphic>
        </wp:anchor>
      </w:drawing>
    </w:r>
    <w:r>
      <w:rPr>
        <w:rFonts w:hint="eastAsia" w:eastAsia="宋体"/>
        <w:lang w:eastAsia="zh-CN"/>
      </w:rPr>
      <w:drawing>
        <wp:anchor distT="0" distB="0" distL="114300" distR="114300" simplePos="0" relativeHeight="251659264" behindDoc="1" locked="0" layoutInCell="1" allowOverlap="1">
          <wp:simplePos x="0" y="0"/>
          <wp:positionH relativeFrom="column">
            <wp:posOffset>-113030</wp:posOffset>
          </wp:positionH>
          <wp:positionV relativeFrom="paragraph">
            <wp:posOffset>-350520</wp:posOffset>
          </wp:positionV>
          <wp:extent cx="7559040" cy="10692130"/>
          <wp:effectExtent l="0" t="0" r="3810" b="13970"/>
          <wp:wrapNone/>
          <wp:docPr id="7" name="图片 7"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医学背景2"/>
                  <pic:cNvPicPr>
                    <a:picLocks noChangeAspect="1"/>
                  </pic:cNvPicPr>
                </pic:nvPicPr>
                <pic:blipFill>
                  <a:blip r:embed="rId2"/>
                  <a:stretch>
                    <a:fillRect/>
                  </a:stretch>
                </pic:blipFill>
                <pic:spPr>
                  <a:xfrm>
                    <a:off x="0" y="0"/>
                    <a:ext cx="7559040" cy="10692130"/>
                  </a:xfrm>
                  <a:prstGeom prst="rect">
                    <a:avLst/>
                  </a:prstGeom>
                </pic:spPr>
              </pic:pic>
            </a:graphicData>
          </a:graphic>
        </wp:anchor>
      </w:drawing>
    </w:r>
  </w:p>
  <w:p w14:paraId="76D56191">
    <w:pPr>
      <w:pStyle w:val="9"/>
      <w:pBdr>
        <w:bottom w:val="none" w:color="auto" w:sz="0" w:space="1"/>
      </w:pBdr>
      <w:rPr>
        <w:rFonts w:hint="eastAsia" w:eastAsia="宋体"/>
        <w:lang w:eastAsia="zh-CN"/>
      </w:rPr>
    </w:pPr>
    <w:r>
      <w:rPr>
        <w:rFonts w:hint="eastAsia" w:eastAsia="宋体"/>
        <w:lang w:eastAsia="zh-CN"/>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2"/>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DB6F23">
    <w:pPr>
      <w:pStyle w:val="9"/>
      <w:pBdr>
        <w:bottom w:val="none" w:color="auto" w:sz="0" w:space="1"/>
      </w:pBdr>
      <w:rPr>
        <w:rFonts w:hint="eastAsia" w:eastAsia="宋体"/>
        <w:lang w:eastAsia="zh-CN"/>
      </w:rPr>
    </w:pPr>
    <w:r>
      <w:rPr>
        <w:rFonts w:hint="eastAsia" w:eastAsiaTheme="minorEastAsia"/>
        <w:lang w:eastAsia="zh-CN"/>
      </w:rPr>
      <w:drawing>
        <wp:anchor distT="0" distB="0" distL="114300" distR="114300" simplePos="0" relativeHeight="251661312" behindDoc="1" locked="0" layoutInCell="1" allowOverlap="1">
          <wp:simplePos x="0" y="0"/>
          <wp:positionH relativeFrom="column">
            <wp:posOffset>-224790</wp:posOffset>
          </wp:positionH>
          <wp:positionV relativeFrom="page">
            <wp:posOffset>0</wp:posOffset>
          </wp:positionV>
          <wp:extent cx="7676515" cy="7571105"/>
          <wp:effectExtent l="0" t="0" r="635" b="0"/>
          <wp:wrapNone/>
          <wp:docPr id="3" name="图片 3" descr="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92"/>
                  <pic:cNvPicPr>
                    <a:picLocks noChangeAspect="1"/>
                  </pic:cNvPicPr>
                </pic:nvPicPr>
                <pic:blipFill>
                  <a:blip r:embed="rId1"/>
                  <a:stretch>
                    <a:fillRect/>
                  </a:stretch>
                </pic:blipFill>
                <pic:spPr>
                  <a:xfrm>
                    <a:off x="0" y="0"/>
                    <a:ext cx="7676515" cy="7571105"/>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DD7E7227"/>
    <w:multiLevelType w:val="singleLevel"/>
    <w:tmpl w:val="DD7E7227"/>
    <w:lvl w:ilvl="0" w:tentative="0">
      <w:start w:val="1"/>
      <w:numFmt w:val="chineseCounting"/>
      <w:suff w:val="nothing"/>
      <w:lvlText w:val="（%1）"/>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UwZDJhYjUyNWMyYTM4YmY1YzczYWE4MTIwOWE1NDY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AC91BFE"/>
    <w:rsid w:val="0E3C75E8"/>
    <w:rsid w:val="0F244062"/>
    <w:rsid w:val="1FB84519"/>
    <w:rsid w:val="2003061B"/>
    <w:rsid w:val="20F13C9B"/>
    <w:rsid w:val="238347DF"/>
    <w:rsid w:val="24B477DD"/>
    <w:rsid w:val="278141AB"/>
    <w:rsid w:val="28B578A7"/>
    <w:rsid w:val="322A12C5"/>
    <w:rsid w:val="34AD60CD"/>
    <w:rsid w:val="34B67F89"/>
    <w:rsid w:val="368D542E"/>
    <w:rsid w:val="388B134B"/>
    <w:rsid w:val="436C72A2"/>
    <w:rsid w:val="43A6660D"/>
    <w:rsid w:val="43CD7F64"/>
    <w:rsid w:val="44B33A23"/>
    <w:rsid w:val="45C91BBA"/>
    <w:rsid w:val="48AA54D8"/>
    <w:rsid w:val="49703285"/>
    <w:rsid w:val="49F8701E"/>
    <w:rsid w:val="4C7F0E23"/>
    <w:rsid w:val="582E68E8"/>
    <w:rsid w:val="5A7C6694"/>
    <w:rsid w:val="5FFC3909"/>
    <w:rsid w:val="600E33E1"/>
    <w:rsid w:val="622A303A"/>
    <w:rsid w:val="723010AC"/>
    <w:rsid w:val="7A106FE1"/>
    <w:rsid w:val="7E1F5A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unhideWhenUsed/>
    <w:qFormat/>
    <w:uiPriority w:val="0"/>
    <w:rPr>
      <w:rFonts w:eastAsia="黑体" w:asciiTheme="majorHAnsi" w:hAnsiTheme="majorHAnsi" w:cstheme="majorBidi"/>
      <w:sz w:val="20"/>
      <w:szCs w:val="20"/>
    </w:rPr>
  </w:style>
  <w:style w:type="paragraph" w:styleId="8">
    <w:name w:val="footer"/>
    <w:basedOn w:val="1"/>
    <w:link w:val="19"/>
    <w:unhideWhenUsed/>
    <w:qFormat/>
    <w:uiPriority w:val="99"/>
    <w:pPr>
      <w:tabs>
        <w:tab w:val="center" w:pos="4153"/>
        <w:tab w:val="right" w:pos="8306"/>
      </w:tabs>
      <w:snapToGrid w:val="0"/>
      <w:jc w:val="left"/>
    </w:pPr>
    <w:rPr>
      <w:sz w:val="18"/>
      <w:szCs w:val="18"/>
    </w:rPr>
  </w:style>
  <w:style w:type="paragraph" w:styleId="9">
    <w:name w:val="header"/>
    <w:basedOn w:val="1"/>
    <w:link w:val="18"/>
    <w:unhideWhenUsed/>
    <w:qFormat/>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numbering" Target="numbering.xml"/><Relationship Id="rId7" Type="http://schemas.openxmlformats.org/officeDocument/2006/relationships/customXml" Target="../customXml/item1.xml"/><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16</Pages>
  <Words>10970</Words>
  <Characters>11125</Characters>
  <Lines>1</Lines>
  <Paragraphs>1</Paragraphs>
  <TotalTime>1</TotalTime>
  <ScaleCrop>false</ScaleCrop>
  <LinksUpToDate>false</LinksUpToDate>
  <CharactersWithSpaces>11193</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2025-07-24T06:33:09Z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E126FF60A2BC4EE0AF6C4B2AB265B3A2_13</vt:lpwstr>
  </property>
  <property fmtid="{D5CDD505-2E9C-101B-9397-08002B2CF9AE}" pid="4" name="KSOTemplateDocerSaveRecord">
    <vt:lpwstr>eyJoZGlkIjoiOTcxZjc4Y2ViNTBlZDVmZTI3YTAxZGE1NWVmM2E2NDEiLCJ1c2VySWQiOiI0MDMzMDA2MzYifQ==</vt:lpwstr>
  </property>
</Properties>
</file>